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57D8C6" w14:textId="77777777" w:rsidR="00000000" w:rsidRDefault="00000000">
      <w:pPr>
        <w:pStyle w:val="UFCtable"/>
        <w:spacing w:after="120"/>
      </w:pPr>
      <w:bookmarkStart w:id="0" w:name="_Toc107214790"/>
      <w:r>
        <w:t>TABLE 4-7.3.  GENERAL ACTIVITY ROOM</w:t>
      </w:r>
      <w:bookmarkEnd w:id="0"/>
    </w:p>
    <w:p w14:paraId="4123EF62" w14:textId="77777777" w:rsidR="00000000" w:rsidRDefault="00000000">
      <w:pPr>
        <w:rPr>
          <w:sz w:val="2"/>
          <w:szCs w:val="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8"/>
        <w:gridCol w:w="7920"/>
      </w:tblGrid>
      <w:tr w:rsidR="00000000" w14:paraId="2645F185" w14:textId="77777777">
        <w:tblPrEx>
          <w:tblCellMar>
            <w:top w:w="0" w:type="dxa"/>
            <w:bottom w:w="0" w:type="dxa"/>
          </w:tblCellMar>
        </w:tblPrEx>
        <w:trPr>
          <w:cantSplit/>
        </w:trPr>
        <w:tc>
          <w:tcPr>
            <w:tcW w:w="1728" w:type="dxa"/>
            <w:tcBorders>
              <w:right w:val="nil"/>
            </w:tcBorders>
          </w:tcPr>
          <w:p w14:paraId="1AA35912" w14:textId="77777777" w:rsidR="00000000" w:rsidRDefault="00000000">
            <w:pPr>
              <w:pStyle w:val="tabletext"/>
              <w:rPr>
                <w:b/>
                <w:bCs/>
              </w:rPr>
            </w:pPr>
            <w:r>
              <w:rPr>
                <w:b/>
                <w:bCs/>
              </w:rPr>
              <w:t>Description/</w:t>
            </w:r>
            <w:r>
              <w:rPr>
                <w:b/>
                <w:bCs/>
              </w:rPr>
              <w:br/>
              <w:t>Usage</w:t>
            </w:r>
          </w:p>
        </w:tc>
        <w:tc>
          <w:tcPr>
            <w:tcW w:w="7920" w:type="dxa"/>
            <w:tcBorders>
              <w:left w:val="nil"/>
            </w:tcBorders>
          </w:tcPr>
          <w:p w14:paraId="079CD28C" w14:textId="24D5A8EC" w:rsidR="00000000" w:rsidRDefault="00CF61B3">
            <w:pPr>
              <w:pStyle w:val="tabletext"/>
              <w:ind w:right="3312"/>
              <w:rPr>
                <w:szCs w:val="20"/>
              </w:rPr>
            </w:pPr>
            <w:r>
              <w:rPr>
                <w:noProof/>
                <w:szCs w:val="20"/>
              </w:rPr>
              <w:drawing>
                <wp:anchor distT="0" distB="0" distL="114300" distR="114300" simplePos="0" relativeHeight="251657728" behindDoc="0" locked="0" layoutInCell="1" allowOverlap="1" wp14:anchorId="52760527" wp14:editId="50342339">
                  <wp:simplePos x="0" y="0"/>
                  <wp:positionH relativeFrom="column">
                    <wp:posOffset>2807335</wp:posOffset>
                  </wp:positionH>
                  <wp:positionV relativeFrom="paragraph">
                    <wp:posOffset>45720</wp:posOffset>
                  </wp:positionV>
                  <wp:extent cx="2112010" cy="1470025"/>
                  <wp:effectExtent l="0" t="0" r="0" b="0"/>
                  <wp:wrapNone/>
                  <wp:docPr id="137661168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r="8339" b="6139"/>
                          <a:stretch>
                            <a:fillRect/>
                          </a:stretch>
                        </pic:blipFill>
                        <pic:spPr bwMode="auto">
                          <a:xfrm>
                            <a:off x="0" y="0"/>
                            <a:ext cx="2112010" cy="1470025"/>
                          </a:xfrm>
                          <a:prstGeom prst="rect">
                            <a:avLst/>
                          </a:prstGeom>
                          <a:noFill/>
                          <a:ln>
                            <a:noFill/>
                          </a:ln>
                        </pic:spPr>
                      </pic:pic>
                    </a:graphicData>
                  </a:graphic>
                  <wp14:sizeRelH relativeFrom="page">
                    <wp14:pctWidth>0</wp14:pctWidth>
                  </wp14:sizeRelH>
                  <wp14:sizeRelV relativeFrom="page">
                    <wp14:pctHeight>0</wp14:pctHeight>
                  </wp14:sizeRelV>
                </wp:anchor>
              </w:drawing>
            </w:r>
            <w:r w:rsidR="00000000">
              <w:rPr>
                <w:szCs w:val="20"/>
              </w:rPr>
              <w:t xml:space="preserve">This shared activity room should be versatile and open to allow for a variety of indoor activities for up to 30 youth.  As with all of the activity rooms, </w:t>
            </w:r>
            <w:r w:rsidR="00000000">
              <w:rPr>
                <w:szCs w:val="20"/>
              </w:rPr>
              <w:br/>
              <w:t xml:space="preserve">it is sized as a basic module to afford flexibility in use.  This space allows youth to socialize during group games, hold club meetings, do homework, theater/drama, and receive instruction in topics like arts and crafts and the sciences. </w:t>
            </w:r>
          </w:p>
        </w:tc>
      </w:tr>
      <w:tr w:rsidR="00000000" w14:paraId="4A4FC2D4" w14:textId="77777777">
        <w:tblPrEx>
          <w:tblCellMar>
            <w:top w:w="0" w:type="dxa"/>
            <w:bottom w:w="0" w:type="dxa"/>
          </w:tblCellMar>
        </w:tblPrEx>
        <w:trPr>
          <w:cantSplit/>
        </w:trPr>
        <w:tc>
          <w:tcPr>
            <w:tcW w:w="1728" w:type="dxa"/>
            <w:tcBorders>
              <w:right w:val="nil"/>
            </w:tcBorders>
          </w:tcPr>
          <w:p w14:paraId="644F38AE" w14:textId="77777777" w:rsidR="00000000" w:rsidRDefault="00000000">
            <w:pPr>
              <w:pStyle w:val="tabletext"/>
              <w:rPr>
                <w:b/>
                <w:bCs/>
              </w:rPr>
            </w:pPr>
            <w:r>
              <w:rPr>
                <w:b/>
                <w:bCs/>
              </w:rPr>
              <w:t>Min. Ceiling Ht.</w:t>
            </w:r>
          </w:p>
        </w:tc>
        <w:tc>
          <w:tcPr>
            <w:tcW w:w="7920" w:type="dxa"/>
            <w:tcBorders>
              <w:left w:val="nil"/>
            </w:tcBorders>
          </w:tcPr>
          <w:p w14:paraId="4E3E6259" w14:textId="77777777" w:rsidR="00000000" w:rsidRDefault="00000000">
            <w:pPr>
              <w:pStyle w:val="tabletext"/>
            </w:pPr>
            <w:r>
              <w:t>3.05 m (10 ft.) clear.</w:t>
            </w:r>
          </w:p>
        </w:tc>
      </w:tr>
      <w:tr w:rsidR="00000000" w14:paraId="0EBBDAAB" w14:textId="77777777">
        <w:tblPrEx>
          <w:tblCellMar>
            <w:top w:w="0" w:type="dxa"/>
            <w:bottom w:w="0" w:type="dxa"/>
          </w:tblCellMar>
        </w:tblPrEx>
        <w:trPr>
          <w:cantSplit/>
        </w:trPr>
        <w:tc>
          <w:tcPr>
            <w:tcW w:w="1728" w:type="dxa"/>
            <w:tcBorders>
              <w:top w:val="nil"/>
              <w:bottom w:val="nil"/>
              <w:right w:val="nil"/>
            </w:tcBorders>
          </w:tcPr>
          <w:p w14:paraId="70F21854" w14:textId="77777777" w:rsidR="00000000" w:rsidRDefault="00000000">
            <w:pPr>
              <w:pStyle w:val="tabletext"/>
              <w:rPr>
                <w:b/>
                <w:bCs/>
              </w:rPr>
            </w:pPr>
            <w:r>
              <w:rPr>
                <w:b/>
                <w:bCs/>
              </w:rPr>
              <w:t>Finishes</w:t>
            </w:r>
          </w:p>
        </w:tc>
        <w:tc>
          <w:tcPr>
            <w:tcW w:w="7920" w:type="dxa"/>
            <w:tcBorders>
              <w:top w:val="nil"/>
              <w:left w:val="nil"/>
              <w:bottom w:val="nil"/>
            </w:tcBorders>
          </w:tcPr>
          <w:p w14:paraId="129C3C24" w14:textId="77777777" w:rsidR="00000000" w:rsidRDefault="00000000">
            <w:pPr>
              <w:pStyle w:val="tabletext"/>
            </w:pPr>
            <w:r>
              <w:rPr>
                <w:b/>
                <w:bCs/>
              </w:rPr>
              <w:t xml:space="preserve">Walls. </w:t>
            </w:r>
            <w:r>
              <w:t xml:space="preserve"> Gypsum wallboard—first 1.22 m (4 ft.) </w:t>
            </w:r>
            <w:r>
              <w:br/>
              <w:t>with a protective wall covering wainscot and paint above 1.22 m (4 ft.).</w:t>
            </w:r>
          </w:p>
        </w:tc>
      </w:tr>
      <w:tr w:rsidR="00000000" w14:paraId="4018479C" w14:textId="77777777">
        <w:tblPrEx>
          <w:tblCellMar>
            <w:top w:w="0" w:type="dxa"/>
            <w:bottom w:w="0" w:type="dxa"/>
          </w:tblCellMar>
        </w:tblPrEx>
        <w:trPr>
          <w:cantSplit/>
        </w:trPr>
        <w:tc>
          <w:tcPr>
            <w:tcW w:w="1728" w:type="dxa"/>
            <w:tcBorders>
              <w:top w:val="nil"/>
              <w:bottom w:val="nil"/>
              <w:right w:val="nil"/>
            </w:tcBorders>
          </w:tcPr>
          <w:p w14:paraId="57C07E54" w14:textId="77777777" w:rsidR="00000000" w:rsidRDefault="00000000">
            <w:pPr>
              <w:pStyle w:val="tabletext"/>
            </w:pPr>
          </w:p>
        </w:tc>
        <w:tc>
          <w:tcPr>
            <w:tcW w:w="7920" w:type="dxa"/>
            <w:tcBorders>
              <w:top w:val="nil"/>
              <w:left w:val="nil"/>
              <w:bottom w:val="nil"/>
            </w:tcBorders>
          </w:tcPr>
          <w:p w14:paraId="0EBB3CCD" w14:textId="77777777" w:rsidR="00000000" w:rsidRDefault="00000000">
            <w:pPr>
              <w:pStyle w:val="tabletext"/>
            </w:pPr>
            <w:r>
              <w:rPr>
                <w:b/>
                <w:bCs/>
              </w:rPr>
              <w:t>Floor.</w:t>
            </w:r>
            <w:r>
              <w:t xml:space="preserve">  Provide durable, low-maintenance hard surface flooring such as VCT (consider seamless or moisture-resistant flooring in wet/crafts areas).  Consider area carpets or rugs.  Vinyl or rubber base.  .</w:t>
            </w:r>
          </w:p>
        </w:tc>
      </w:tr>
      <w:tr w:rsidR="00000000" w14:paraId="34F2A5E0" w14:textId="77777777">
        <w:tblPrEx>
          <w:tblCellMar>
            <w:top w:w="0" w:type="dxa"/>
            <w:bottom w:w="0" w:type="dxa"/>
          </w:tblCellMar>
        </w:tblPrEx>
        <w:trPr>
          <w:cantSplit/>
        </w:trPr>
        <w:tc>
          <w:tcPr>
            <w:tcW w:w="1728" w:type="dxa"/>
            <w:tcBorders>
              <w:top w:val="nil"/>
              <w:bottom w:val="nil"/>
              <w:right w:val="nil"/>
            </w:tcBorders>
          </w:tcPr>
          <w:p w14:paraId="7E7FFBEB" w14:textId="77777777" w:rsidR="00000000" w:rsidRDefault="00000000">
            <w:pPr>
              <w:pStyle w:val="tabletext"/>
            </w:pPr>
          </w:p>
        </w:tc>
        <w:tc>
          <w:tcPr>
            <w:tcW w:w="7920" w:type="dxa"/>
            <w:tcBorders>
              <w:top w:val="nil"/>
              <w:left w:val="nil"/>
              <w:bottom w:val="nil"/>
            </w:tcBorders>
          </w:tcPr>
          <w:p w14:paraId="0EF054D2" w14:textId="77777777" w:rsidR="00000000" w:rsidRDefault="00000000">
            <w:pPr>
              <w:pStyle w:val="tabletext"/>
            </w:pPr>
            <w:r>
              <w:rPr>
                <w:b/>
                <w:bCs/>
              </w:rPr>
              <w:t>Ceiling.</w:t>
            </w:r>
            <w:r>
              <w:t xml:space="preserve">  ACP.</w:t>
            </w:r>
          </w:p>
        </w:tc>
      </w:tr>
      <w:tr w:rsidR="00000000" w14:paraId="536E6FAA" w14:textId="77777777">
        <w:tblPrEx>
          <w:tblCellMar>
            <w:top w:w="0" w:type="dxa"/>
            <w:bottom w:w="0" w:type="dxa"/>
          </w:tblCellMar>
        </w:tblPrEx>
        <w:trPr>
          <w:cantSplit/>
        </w:trPr>
        <w:tc>
          <w:tcPr>
            <w:tcW w:w="1728" w:type="dxa"/>
            <w:tcBorders>
              <w:right w:val="nil"/>
            </w:tcBorders>
          </w:tcPr>
          <w:p w14:paraId="5BD254F2" w14:textId="77777777" w:rsidR="00000000" w:rsidRDefault="00000000">
            <w:pPr>
              <w:pStyle w:val="tabletext"/>
              <w:rPr>
                <w:b/>
                <w:bCs/>
              </w:rPr>
            </w:pPr>
            <w:r>
              <w:rPr>
                <w:b/>
                <w:bCs/>
              </w:rPr>
              <w:t>Plumbing</w:t>
            </w:r>
          </w:p>
        </w:tc>
        <w:tc>
          <w:tcPr>
            <w:tcW w:w="7920" w:type="dxa"/>
            <w:tcBorders>
              <w:left w:val="nil"/>
            </w:tcBorders>
          </w:tcPr>
          <w:p w14:paraId="2F11A833" w14:textId="77777777" w:rsidR="00000000" w:rsidRDefault="00000000">
            <w:pPr>
              <w:pStyle w:val="tabletext"/>
            </w:pPr>
            <w:r>
              <w:t xml:space="preserve">Provide a sink with hot and cold water and a floor drain.  </w:t>
            </w:r>
          </w:p>
        </w:tc>
      </w:tr>
      <w:tr w:rsidR="00000000" w14:paraId="10765E00" w14:textId="77777777">
        <w:tblPrEx>
          <w:tblCellMar>
            <w:top w:w="0" w:type="dxa"/>
            <w:bottom w:w="0" w:type="dxa"/>
          </w:tblCellMar>
        </w:tblPrEx>
        <w:trPr>
          <w:cantSplit/>
        </w:trPr>
        <w:tc>
          <w:tcPr>
            <w:tcW w:w="1728" w:type="dxa"/>
            <w:tcBorders>
              <w:right w:val="nil"/>
            </w:tcBorders>
          </w:tcPr>
          <w:p w14:paraId="4EBE9D01" w14:textId="77777777" w:rsidR="00000000" w:rsidRDefault="00000000">
            <w:pPr>
              <w:pStyle w:val="tabletext"/>
              <w:rPr>
                <w:b/>
                <w:bCs/>
              </w:rPr>
            </w:pPr>
            <w:r>
              <w:rPr>
                <w:b/>
                <w:bCs/>
              </w:rPr>
              <w:t>HVAC</w:t>
            </w:r>
          </w:p>
        </w:tc>
        <w:tc>
          <w:tcPr>
            <w:tcW w:w="7920" w:type="dxa"/>
            <w:tcBorders>
              <w:left w:val="nil"/>
            </w:tcBorders>
          </w:tcPr>
          <w:p w14:paraId="019A1DD0" w14:textId="77777777" w:rsidR="00000000" w:rsidRDefault="00000000">
            <w:pPr>
              <w:pStyle w:val="tabletext"/>
            </w:pPr>
            <w:r>
              <w:t>20 C (68 F) minimum, 26 C (78 F) maximum.</w:t>
            </w:r>
          </w:p>
        </w:tc>
      </w:tr>
      <w:tr w:rsidR="00000000" w14:paraId="29CA54C6" w14:textId="77777777">
        <w:tblPrEx>
          <w:tblCellMar>
            <w:top w:w="0" w:type="dxa"/>
            <w:bottom w:w="0" w:type="dxa"/>
          </w:tblCellMar>
        </w:tblPrEx>
        <w:trPr>
          <w:cantSplit/>
        </w:trPr>
        <w:tc>
          <w:tcPr>
            <w:tcW w:w="1728" w:type="dxa"/>
            <w:tcBorders>
              <w:right w:val="nil"/>
            </w:tcBorders>
          </w:tcPr>
          <w:p w14:paraId="2800EAA3" w14:textId="77777777" w:rsidR="00000000" w:rsidRDefault="00000000">
            <w:pPr>
              <w:pStyle w:val="tabletext"/>
              <w:rPr>
                <w:b/>
                <w:bCs/>
              </w:rPr>
            </w:pPr>
            <w:r>
              <w:rPr>
                <w:b/>
                <w:bCs/>
              </w:rPr>
              <w:t>Fire Protection</w:t>
            </w:r>
          </w:p>
        </w:tc>
        <w:tc>
          <w:tcPr>
            <w:tcW w:w="7920" w:type="dxa"/>
            <w:tcBorders>
              <w:left w:val="nil"/>
            </w:tcBorders>
          </w:tcPr>
          <w:p w14:paraId="46363CE1" w14:textId="77777777" w:rsidR="00000000" w:rsidRDefault="00000000">
            <w:pPr>
              <w:pStyle w:val="tabletext"/>
            </w:pPr>
            <w:r>
              <w:t>Provide system per paragraph 3-5.3.</w:t>
            </w:r>
          </w:p>
        </w:tc>
      </w:tr>
      <w:tr w:rsidR="00000000" w14:paraId="568EAAB8" w14:textId="77777777">
        <w:tblPrEx>
          <w:tblCellMar>
            <w:top w:w="0" w:type="dxa"/>
            <w:bottom w:w="0" w:type="dxa"/>
          </w:tblCellMar>
        </w:tblPrEx>
        <w:trPr>
          <w:cantSplit/>
        </w:trPr>
        <w:tc>
          <w:tcPr>
            <w:tcW w:w="1728" w:type="dxa"/>
            <w:tcBorders>
              <w:right w:val="nil"/>
            </w:tcBorders>
          </w:tcPr>
          <w:p w14:paraId="52230798" w14:textId="77777777" w:rsidR="00000000" w:rsidRDefault="00000000">
            <w:pPr>
              <w:pStyle w:val="tabletext"/>
              <w:rPr>
                <w:b/>
                <w:bCs/>
              </w:rPr>
            </w:pPr>
            <w:r>
              <w:rPr>
                <w:b/>
                <w:bCs/>
              </w:rPr>
              <w:t>Power</w:t>
            </w:r>
          </w:p>
        </w:tc>
        <w:tc>
          <w:tcPr>
            <w:tcW w:w="7920" w:type="dxa"/>
            <w:tcBorders>
              <w:left w:val="nil"/>
            </w:tcBorders>
          </w:tcPr>
          <w:p w14:paraId="24E73FFE" w14:textId="77777777" w:rsidR="00000000" w:rsidRDefault="00000000">
            <w:pPr>
              <w:pStyle w:val="tabletext"/>
            </w:pPr>
            <w:r>
              <w:t>As a minimum, provide duplex outlets at 2.44 m (8 ft.) on-center and provide one duplex outlet at each CATV outlet.  Consider additional duplex outlets depending on intended usage.  Outlets at the sink must be GFI and comply with all codes.</w:t>
            </w:r>
          </w:p>
        </w:tc>
      </w:tr>
      <w:tr w:rsidR="00000000" w14:paraId="18491819" w14:textId="77777777">
        <w:tblPrEx>
          <w:tblCellMar>
            <w:top w:w="0" w:type="dxa"/>
            <w:bottom w:w="0" w:type="dxa"/>
          </w:tblCellMar>
        </w:tblPrEx>
        <w:trPr>
          <w:cantSplit/>
        </w:trPr>
        <w:tc>
          <w:tcPr>
            <w:tcW w:w="1728" w:type="dxa"/>
            <w:tcBorders>
              <w:right w:val="nil"/>
            </w:tcBorders>
          </w:tcPr>
          <w:p w14:paraId="3A383E91" w14:textId="77777777" w:rsidR="00000000" w:rsidRDefault="00000000">
            <w:pPr>
              <w:pStyle w:val="tabletext"/>
              <w:rPr>
                <w:b/>
                <w:bCs/>
              </w:rPr>
            </w:pPr>
            <w:r>
              <w:rPr>
                <w:b/>
                <w:bCs/>
              </w:rPr>
              <w:t>Lighting</w:t>
            </w:r>
          </w:p>
        </w:tc>
        <w:tc>
          <w:tcPr>
            <w:tcW w:w="7920" w:type="dxa"/>
            <w:tcBorders>
              <w:left w:val="nil"/>
            </w:tcBorders>
          </w:tcPr>
          <w:p w14:paraId="1AC525D5" w14:textId="77777777" w:rsidR="00000000" w:rsidRDefault="00000000">
            <w:pPr>
              <w:pStyle w:val="tabletext"/>
            </w:pPr>
            <w:r>
              <w:t>Provide 540 Lux (50 ft. candles) in game/play areas. Consider providing dimmable lighting and down lights at individual activity areas. Coordinate fixture locations so lights are not obstructed or shadows cast.</w:t>
            </w:r>
          </w:p>
        </w:tc>
      </w:tr>
      <w:tr w:rsidR="00000000" w14:paraId="596F22C9" w14:textId="77777777">
        <w:tblPrEx>
          <w:tblCellMar>
            <w:top w:w="0" w:type="dxa"/>
            <w:bottom w:w="0" w:type="dxa"/>
          </w:tblCellMar>
        </w:tblPrEx>
        <w:trPr>
          <w:cantSplit/>
        </w:trPr>
        <w:tc>
          <w:tcPr>
            <w:tcW w:w="1728" w:type="dxa"/>
            <w:tcBorders>
              <w:bottom w:val="single" w:sz="4" w:space="0" w:color="auto"/>
              <w:right w:val="nil"/>
            </w:tcBorders>
          </w:tcPr>
          <w:p w14:paraId="472E4801" w14:textId="77777777" w:rsidR="00000000" w:rsidRDefault="00000000">
            <w:pPr>
              <w:pStyle w:val="tabletext"/>
              <w:rPr>
                <w:b/>
                <w:bCs/>
              </w:rPr>
            </w:pPr>
            <w:r>
              <w:rPr>
                <w:b/>
                <w:bCs/>
              </w:rPr>
              <w:t>Communication</w:t>
            </w:r>
          </w:p>
        </w:tc>
        <w:tc>
          <w:tcPr>
            <w:tcW w:w="7920" w:type="dxa"/>
            <w:tcBorders>
              <w:left w:val="nil"/>
              <w:bottom w:val="single" w:sz="4" w:space="0" w:color="auto"/>
            </w:tcBorders>
          </w:tcPr>
          <w:p w14:paraId="558D2ECC" w14:textId="77777777" w:rsidR="00000000" w:rsidRDefault="00000000">
            <w:pPr>
              <w:pStyle w:val="tabletext"/>
            </w:pPr>
            <w:r>
              <w:rPr>
                <w:b/>
                <w:bCs/>
              </w:rPr>
              <w:t xml:space="preserve">CCTV. </w:t>
            </w:r>
            <w:r>
              <w:rPr>
                <w:bCs/>
              </w:rPr>
              <w:t xml:space="preserve"> Provide at least one outlet.</w:t>
            </w:r>
          </w:p>
          <w:p w14:paraId="2449192F" w14:textId="18785E04" w:rsidR="00000000" w:rsidRDefault="00000000">
            <w:pPr>
              <w:pStyle w:val="tabletext"/>
            </w:pPr>
            <w:r>
              <w:rPr>
                <w:b/>
                <w:bCs/>
              </w:rPr>
              <w:t>CATV/Internal Video.</w:t>
            </w:r>
            <w:r>
              <w:t xml:space="preserve">  Consider providing one outlet.  </w:t>
            </w:r>
            <w:r w:rsidR="00CF61B3">
              <w:rPr>
                <w:noProof/>
                <w:position w:val="-8"/>
                <w:szCs w:val="20"/>
              </w:rPr>
              <w:drawing>
                <wp:inline distT="0" distB="0" distL="0" distR="0" wp14:anchorId="14B0906C" wp14:editId="7A6001DB">
                  <wp:extent cx="276225" cy="200025"/>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r>
              <w:t xml:space="preserve">  Navy does not permit CATV in the General Activity Room.</w:t>
            </w:r>
          </w:p>
          <w:p w14:paraId="2357E815" w14:textId="77777777" w:rsidR="00000000" w:rsidRDefault="00000000">
            <w:pPr>
              <w:pStyle w:val="tabletext"/>
            </w:pPr>
            <w:r>
              <w:rPr>
                <w:b/>
                <w:bCs/>
              </w:rPr>
              <w:t xml:space="preserve">PA/Audio. </w:t>
            </w:r>
            <w:r>
              <w:rPr>
                <w:bCs/>
              </w:rPr>
              <w:t xml:space="preserve"> Provide a speaker.</w:t>
            </w:r>
          </w:p>
          <w:p w14:paraId="7E6F3675" w14:textId="77777777" w:rsidR="00000000" w:rsidRDefault="00000000">
            <w:pPr>
              <w:pStyle w:val="tabletext"/>
            </w:pPr>
            <w:r>
              <w:rPr>
                <w:b/>
                <w:bCs/>
              </w:rPr>
              <w:t>Telephone.</w:t>
            </w:r>
            <w:r>
              <w:t xml:space="preserve">  Provide one line with internal two-way communication.</w:t>
            </w:r>
          </w:p>
          <w:p w14:paraId="0B8915A0" w14:textId="77777777" w:rsidR="00000000" w:rsidRDefault="00000000">
            <w:pPr>
              <w:pStyle w:val="tabletext"/>
            </w:pPr>
            <w:r>
              <w:rPr>
                <w:b/>
                <w:bCs/>
              </w:rPr>
              <w:t xml:space="preserve">Data. </w:t>
            </w:r>
            <w:r>
              <w:t xml:space="preserve"> Consider providing at least two outlets.  </w:t>
            </w:r>
          </w:p>
          <w:p w14:paraId="250F5CFD" w14:textId="77777777" w:rsidR="00000000" w:rsidRDefault="00000000">
            <w:pPr>
              <w:pStyle w:val="tabletext"/>
            </w:pPr>
            <w:r>
              <w:rPr>
                <w:b/>
                <w:bCs/>
              </w:rPr>
              <w:t>Security.</w:t>
            </w:r>
            <w:r>
              <w:t xml:space="preserve">  Do not create corners or “nooks” that are not visible from other areas of the room.  Provide vision panels in interior doors and large windows in the interior walls to corridor and/or Commons.</w:t>
            </w:r>
          </w:p>
        </w:tc>
      </w:tr>
      <w:tr w:rsidR="00000000" w14:paraId="1354F746" w14:textId="77777777">
        <w:tblPrEx>
          <w:tblCellMar>
            <w:top w:w="0" w:type="dxa"/>
            <w:bottom w:w="0" w:type="dxa"/>
          </w:tblCellMar>
        </w:tblPrEx>
        <w:trPr>
          <w:cantSplit/>
        </w:trPr>
        <w:tc>
          <w:tcPr>
            <w:tcW w:w="1728" w:type="dxa"/>
            <w:tcBorders>
              <w:bottom w:val="single" w:sz="4" w:space="0" w:color="auto"/>
              <w:right w:val="nil"/>
            </w:tcBorders>
          </w:tcPr>
          <w:p w14:paraId="179660CC" w14:textId="77777777" w:rsidR="00000000" w:rsidRDefault="00000000">
            <w:pPr>
              <w:pStyle w:val="tabletext"/>
              <w:rPr>
                <w:b/>
                <w:bCs/>
              </w:rPr>
            </w:pPr>
            <w:r>
              <w:rPr>
                <w:b/>
                <w:bCs/>
              </w:rPr>
              <w:t>Casework</w:t>
            </w:r>
          </w:p>
        </w:tc>
        <w:tc>
          <w:tcPr>
            <w:tcW w:w="7920" w:type="dxa"/>
            <w:tcBorders>
              <w:left w:val="nil"/>
              <w:bottom w:val="single" w:sz="4" w:space="0" w:color="auto"/>
            </w:tcBorders>
          </w:tcPr>
          <w:p w14:paraId="7F0C3B89" w14:textId="77777777" w:rsidR="00000000" w:rsidRDefault="00000000">
            <w:pPr>
              <w:pStyle w:val="tabletext"/>
            </w:pPr>
            <w:r>
              <w:t>Provide solid-surface countertop with base cabinets.  Also consider providing wall storage cabinets for arts and craft supplies and projects.</w:t>
            </w:r>
          </w:p>
        </w:tc>
      </w:tr>
      <w:tr w:rsidR="00000000" w14:paraId="4E7B412A" w14:textId="77777777">
        <w:tblPrEx>
          <w:tblCellMar>
            <w:top w:w="0" w:type="dxa"/>
            <w:bottom w:w="0" w:type="dxa"/>
          </w:tblCellMar>
        </w:tblPrEx>
        <w:trPr>
          <w:cantSplit/>
        </w:trPr>
        <w:tc>
          <w:tcPr>
            <w:tcW w:w="1728" w:type="dxa"/>
            <w:tcBorders>
              <w:bottom w:val="nil"/>
              <w:right w:val="nil"/>
            </w:tcBorders>
          </w:tcPr>
          <w:p w14:paraId="3D9EFFB0" w14:textId="77777777" w:rsidR="00000000" w:rsidRDefault="00000000">
            <w:pPr>
              <w:pStyle w:val="tabletext"/>
              <w:rPr>
                <w:b/>
                <w:bCs/>
              </w:rPr>
            </w:pPr>
            <w:r>
              <w:rPr>
                <w:b/>
                <w:bCs/>
              </w:rPr>
              <w:t>Furnishings Fixtures &amp; Equip. (FF&amp;E)</w:t>
            </w:r>
          </w:p>
        </w:tc>
        <w:tc>
          <w:tcPr>
            <w:tcW w:w="7920" w:type="dxa"/>
            <w:tcBorders>
              <w:left w:val="nil"/>
              <w:bottom w:val="nil"/>
            </w:tcBorders>
          </w:tcPr>
          <w:p w14:paraId="17C3D2D0" w14:textId="77777777" w:rsidR="00000000" w:rsidRDefault="00000000">
            <w:pPr>
              <w:pStyle w:val="tabletext"/>
            </w:pPr>
            <w:r>
              <w:t>Consider items such as the following depending on intended usage:  tables, chairs, soft and padded furniture, bookshelves, large pillows, area rugs, television, video games, table games, tack board, dry-erase board, easels.</w:t>
            </w:r>
          </w:p>
        </w:tc>
      </w:tr>
      <w:tr w:rsidR="00000000" w14:paraId="017DDBF6" w14:textId="77777777">
        <w:tblPrEx>
          <w:tblCellMar>
            <w:top w:w="0" w:type="dxa"/>
            <w:bottom w:w="0" w:type="dxa"/>
          </w:tblCellMar>
        </w:tblPrEx>
        <w:trPr>
          <w:cantSplit/>
        </w:trPr>
        <w:tc>
          <w:tcPr>
            <w:tcW w:w="1728" w:type="dxa"/>
            <w:tcBorders>
              <w:top w:val="single" w:sz="4" w:space="0" w:color="auto"/>
              <w:bottom w:val="single" w:sz="4" w:space="0" w:color="auto"/>
              <w:right w:val="nil"/>
            </w:tcBorders>
          </w:tcPr>
          <w:p w14:paraId="697FCCA9" w14:textId="77777777" w:rsidR="00000000" w:rsidRDefault="00000000">
            <w:pPr>
              <w:pStyle w:val="tabletext"/>
              <w:rPr>
                <w:b/>
                <w:bCs/>
              </w:rPr>
            </w:pPr>
            <w:r>
              <w:rPr>
                <w:b/>
                <w:bCs/>
              </w:rPr>
              <w:t>Special Requirements</w:t>
            </w:r>
          </w:p>
        </w:tc>
        <w:tc>
          <w:tcPr>
            <w:tcW w:w="7920" w:type="dxa"/>
            <w:tcBorders>
              <w:top w:val="single" w:sz="4" w:space="0" w:color="auto"/>
              <w:left w:val="nil"/>
              <w:bottom w:val="single" w:sz="4" w:space="0" w:color="auto"/>
            </w:tcBorders>
          </w:tcPr>
          <w:p w14:paraId="66DB5884" w14:textId="77777777" w:rsidR="00000000" w:rsidRDefault="00000000">
            <w:pPr>
              <w:pStyle w:val="tabletext"/>
            </w:pPr>
            <w:r>
              <w:t>Provide tackable surfaces on the walls.</w:t>
            </w:r>
          </w:p>
          <w:p w14:paraId="07DFBA17" w14:textId="2F4CED3F" w:rsidR="00000000" w:rsidRDefault="00000000">
            <w:pPr>
              <w:pStyle w:val="tabletext"/>
            </w:pPr>
            <w:r>
              <w:t>Provide exterior doors to outside activity area.</w:t>
            </w:r>
            <w:r>
              <w:rPr>
                <w:bCs/>
              </w:rPr>
              <w:t xml:space="preserve">  </w:t>
            </w:r>
            <w:r w:rsidR="00CF61B3">
              <w:rPr>
                <w:noProof/>
                <w:position w:val="-8"/>
                <w:szCs w:val="20"/>
              </w:rPr>
              <w:drawing>
                <wp:inline distT="0" distB="0" distL="0" distR="0" wp14:anchorId="54A13E40" wp14:editId="212743C8">
                  <wp:extent cx="276225" cy="2000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r>
              <w:t xml:space="preserve"> Army requires exterior doors to be alarmed.</w:t>
            </w:r>
            <w:r>
              <w:rPr>
                <w:bCs/>
              </w:rPr>
              <w:t xml:space="preserve">  The </w:t>
            </w:r>
            <w:r>
              <w:t>Navy does not require exterior doors.</w:t>
            </w:r>
          </w:p>
          <w:p w14:paraId="2CF2BAAE" w14:textId="77777777" w:rsidR="00000000" w:rsidRDefault="00000000">
            <w:pPr>
              <w:pStyle w:val="tabletext"/>
            </w:pPr>
            <w:r>
              <w:t>Provide a dedicated storage closet (included in the space program) with hanging rods and/or shelves.</w:t>
            </w:r>
          </w:p>
          <w:p w14:paraId="76F07322" w14:textId="7AFDFCA6" w:rsidR="00000000" w:rsidRDefault="00000000">
            <w:pPr>
              <w:pStyle w:val="tabletext"/>
            </w:pPr>
            <w:r>
              <w:t xml:space="preserve">Consider providing a folding room partition. </w:t>
            </w:r>
            <w:r>
              <w:rPr>
                <w:bCs/>
              </w:rPr>
              <w:t xml:space="preserve"> </w:t>
            </w:r>
            <w:r w:rsidR="00CF61B3">
              <w:rPr>
                <w:noProof/>
                <w:position w:val="-8"/>
                <w:szCs w:val="20"/>
              </w:rPr>
              <w:drawing>
                <wp:inline distT="0" distB="0" distL="0" distR="0" wp14:anchorId="48DDEDDF" wp14:editId="33BE2892">
                  <wp:extent cx="276225" cy="200025"/>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r>
              <w:t xml:space="preserve">  The Navy does not recommend folding partitions.</w:t>
            </w:r>
          </w:p>
        </w:tc>
      </w:tr>
      <w:tr w:rsidR="00000000" w14:paraId="5375EE7C" w14:textId="77777777">
        <w:tblPrEx>
          <w:tblCellMar>
            <w:top w:w="0" w:type="dxa"/>
            <w:bottom w:w="0" w:type="dxa"/>
          </w:tblCellMar>
        </w:tblPrEx>
        <w:trPr>
          <w:cantSplit/>
        </w:trPr>
        <w:tc>
          <w:tcPr>
            <w:tcW w:w="9648" w:type="dxa"/>
            <w:gridSpan w:val="2"/>
            <w:tcBorders>
              <w:top w:val="single" w:sz="4" w:space="0" w:color="auto"/>
              <w:left w:val="single" w:sz="4" w:space="0" w:color="auto"/>
              <w:bottom w:val="nil"/>
              <w:right w:val="single" w:sz="4" w:space="0" w:color="auto"/>
            </w:tcBorders>
          </w:tcPr>
          <w:p w14:paraId="546C228A" w14:textId="77777777" w:rsidR="00000000" w:rsidRDefault="00000000">
            <w:pPr>
              <w:pStyle w:val="tablehead2"/>
              <w:spacing w:before="40" w:after="40"/>
            </w:pPr>
            <w:r>
              <w:t>For use during project execution by the appropriate Service agency</w:t>
            </w:r>
          </w:p>
        </w:tc>
      </w:tr>
      <w:tr w:rsidR="00000000" w14:paraId="0B1DC8AD" w14:textId="77777777">
        <w:tblPrEx>
          <w:tblCellMar>
            <w:top w:w="0" w:type="dxa"/>
            <w:bottom w:w="0" w:type="dxa"/>
          </w:tblCellMar>
        </w:tblPrEx>
        <w:trPr>
          <w:cantSplit/>
        </w:trPr>
        <w:tc>
          <w:tcPr>
            <w:tcW w:w="1728" w:type="dxa"/>
            <w:tcBorders>
              <w:top w:val="single" w:sz="4" w:space="0" w:color="auto"/>
              <w:left w:val="single" w:sz="4" w:space="0" w:color="auto"/>
              <w:bottom w:val="nil"/>
              <w:right w:val="nil"/>
            </w:tcBorders>
            <w:shd w:val="clear" w:color="auto" w:fill="C0C0C0"/>
          </w:tcPr>
          <w:p w14:paraId="6E4AF4FE" w14:textId="77777777" w:rsidR="00000000" w:rsidRDefault="00000000">
            <w:pPr>
              <w:pStyle w:val="tabletext"/>
              <w:rPr>
                <w:b/>
                <w:bCs/>
              </w:rPr>
            </w:pPr>
            <w:r>
              <w:rPr>
                <w:b/>
                <w:bCs/>
              </w:rPr>
              <w:t>Occupancy</w:t>
            </w:r>
          </w:p>
        </w:tc>
        <w:tc>
          <w:tcPr>
            <w:tcW w:w="7920" w:type="dxa"/>
            <w:tcBorders>
              <w:top w:val="single" w:sz="4" w:space="0" w:color="auto"/>
              <w:left w:val="nil"/>
              <w:bottom w:val="nil"/>
              <w:right w:val="single" w:sz="4" w:space="0" w:color="auto"/>
            </w:tcBorders>
            <w:shd w:val="clear" w:color="auto" w:fill="C0C0C0"/>
          </w:tcPr>
          <w:p w14:paraId="4CA5AE55" w14:textId="77777777" w:rsidR="00000000" w:rsidRDefault="00000000">
            <w:pPr>
              <w:pStyle w:val="tabletext"/>
            </w:pPr>
            <w:r>
              <w:t xml:space="preserve">Staff.  </w:t>
            </w:r>
          </w:p>
        </w:tc>
      </w:tr>
      <w:tr w:rsidR="00000000" w14:paraId="7F41103E" w14:textId="77777777">
        <w:tblPrEx>
          <w:tblCellMar>
            <w:top w:w="0" w:type="dxa"/>
            <w:bottom w:w="0" w:type="dxa"/>
          </w:tblCellMar>
        </w:tblPrEx>
        <w:trPr>
          <w:cantSplit/>
        </w:trPr>
        <w:tc>
          <w:tcPr>
            <w:tcW w:w="1728" w:type="dxa"/>
            <w:tcBorders>
              <w:top w:val="nil"/>
              <w:left w:val="single" w:sz="4" w:space="0" w:color="auto"/>
              <w:bottom w:val="single" w:sz="4" w:space="0" w:color="auto"/>
              <w:right w:val="nil"/>
            </w:tcBorders>
            <w:shd w:val="clear" w:color="auto" w:fill="C0C0C0"/>
          </w:tcPr>
          <w:p w14:paraId="10A84781" w14:textId="77777777" w:rsidR="00000000" w:rsidRDefault="00000000">
            <w:pPr>
              <w:pStyle w:val="tabletext"/>
              <w:rPr>
                <w:bCs/>
              </w:rPr>
            </w:pPr>
          </w:p>
        </w:tc>
        <w:tc>
          <w:tcPr>
            <w:tcW w:w="7920" w:type="dxa"/>
            <w:tcBorders>
              <w:top w:val="nil"/>
              <w:left w:val="nil"/>
              <w:bottom w:val="single" w:sz="4" w:space="0" w:color="auto"/>
              <w:right w:val="single" w:sz="4" w:space="0" w:color="auto"/>
            </w:tcBorders>
            <w:shd w:val="clear" w:color="auto" w:fill="C0C0C0"/>
          </w:tcPr>
          <w:p w14:paraId="22CBCB40" w14:textId="77777777" w:rsidR="00000000" w:rsidRDefault="00000000">
            <w:pPr>
              <w:pStyle w:val="tabletext"/>
            </w:pPr>
            <w:r>
              <w:t xml:space="preserve">Patrons/Youth.  </w:t>
            </w:r>
          </w:p>
        </w:tc>
      </w:tr>
      <w:tr w:rsidR="00000000" w14:paraId="7D4BDDD1" w14:textId="77777777">
        <w:tblPrEx>
          <w:tblCellMar>
            <w:top w:w="0" w:type="dxa"/>
            <w:bottom w:w="0" w:type="dxa"/>
          </w:tblCellMar>
        </w:tblPrEx>
        <w:trPr>
          <w:cantSplit/>
        </w:trPr>
        <w:tc>
          <w:tcPr>
            <w:tcW w:w="1728" w:type="dxa"/>
            <w:tcBorders>
              <w:top w:val="single" w:sz="4" w:space="0" w:color="auto"/>
              <w:left w:val="single" w:sz="4" w:space="0" w:color="auto"/>
              <w:bottom w:val="single" w:sz="4" w:space="0" w:color="auto"/>
              <w:right w:val="nil"/>
            </w:tcBorders>
            <w:shd w:val="clear" w:color="auto" w:fill="C0C0C0"/>
          </w:tcPr>
          <w:p w14:paraId="7E190AFD" w14:textId="77777777" w:rsidR="00000000" w:rsidRDefault="00000000">
            <w:pPr>
              <w:pStyle w:val="tabletext"/>
              <w:rPr>
                <w:b/>
                <w:bCs/>
              </w:rPr>
            </w:pPr>
            <w:r>
              <w:rPr>
                <w:b/>
                <w:bCs/>
              </w:rPr>
              <w:lastRenderedPageBreak/>
              <w:t>Min. net m</w:t>
            </w:r>
            <w:r>
              <w:rPr>
                <w:b/>
                <w:bCs/>
                <w:vertAlign w:val="superscript"/>
              </w:rPr>
              <w:t>2</w:t>
            </w:r>
            <w:r>
              <w:rPr>
                <w:b/>
                <w:bCs/>
              </w:rPr>
              <w:t xml:space="preserve"> (ft</w:t>
            </w:r>
            <w:r>
              <w:rPr>
                <w:b/>
                <w:bCs/>
                <w:vertAlign w:val="superscript"/>
              </w:rPr>
              <w:t>2</w:t>
            </w:r>
            <w:r>
              <w:rPr>
                <w:b/>
                <w:bCs/>
              </w:rPr>
              <w:t>)</w:t>
            </w:r>
          </w:p>
        </w:tc>
        <w:tc>
          <w:tcPr>
            <w:tcW w:w="7920" w:type="dxa"/>
            <w:tcBorders>
              <w:top w:val="single" w:sz="4" w:space="0" w:color="auto"/>
              <w:left w:val="nil"/>
              <w:bottom w:val="single" w:sz="4" w:space="0" w:color="auto"/>
              <w:right w:val="single" w:sz="4" w:space="0" w:color="auto"/>
            </w:tcBorders>
            <w:shd w:val="clear" w:color="auto" w:fill="C0C0C0"/>
          </w:tcPr>
          <w:p w14:paraId="21C77E7A" w14:textId="77777777" w:rsidR="00000000" w:rsidRDefault="00000000">
            <w:pPr>
              <w:pStyle w:val="tabletext"/>
              <w:tabs>
                <w:tab w:val="left" w:pos="3674"/>
              </w:tabs>
            </w:pPr>
            <w:r>
              <w:t>Room.</w:t>
            </w:r>
            <w:r>
              <w:tab/>
              <w:t>Storage Closet.</w:t>
            </w:r>
          </w:p>
        </w:tc>
      </w:tr>
    </w:tbl>
    <w:p w14:paraId="62899069" w14:textId="77777777" w:rsidR="002378CB" w:rsidRDefault="002378CB"/>
    <w:sectPr w:rsidR="002378C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485EC0"/>
    <w:multiLevelType w:val="hybridMultilevel"/>
    <w:tmpl w:val="5392842E"/>
    <w:lvl w:ilvl="0" w:tplc="3D6A992C">
      <w:start w:val="1"/>
      <w:numFmt w:val="lowerLetter"/>
      <w:pStyle w:val="UFCletterbullet"/>
      <w:lvlText w:val="%1."/>
      <w:lvlJc w:val="left"/>
      <w:pPr>
        <w:tabs>
          <w:tab w:val="num" w:pos="1080"/>
        </w:tabs>
        <w:ind w:left="1080" w:hanging="360"/>
      </w:pPr>
      <w:rPr>
        <w:rFonts w:hint="default"/>
      </w:rPr>
    </w:lvl>
    <w:lvl w:ilvl="1" w:tplc="ADECBB58">
      <w:start w:val="1"/>
      <w:numFmt w:val="lowerLetter"/>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3387024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AB1"/>
    <w:rsid w:val="002378CB"/>
    <w:rsid w:val="00CB7AB1"/>
    <w:rsid w:val="00CF61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D77E1C"/>
  <w15:chartTrackingRefBased/>
  <w15:docId w15:val="{35893A51-19F2-4969-999C-438250AD4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FCletterbullet">
    <w:name w:val="UFC letter bullet"/>
    <w:basedOn w:val="Normal"/>
    <w:pPr>
      <w:numPr>
        <w:numId w:val="1"/>
      </w:numPr>
    </w:pPr>
    <w:rPr>
      <w:rFonts w:ascii="Arial" w:hAnsi="Arial" w:cs="Arial"/>
      <w:szCs w:val="18"/>
    </w:rPr>
  </w:style>
  <w:style w:type="paragraph" w:customStyle="1" w:styleId="UFCtable">
    <w:name w:val="UFCtable"/>
    <w:basedOn w:val="Normal"/>
    <w:pPr>
      <w:spacing w:after="240"/>
      <w:jc w:val="center"/>
    </w:pPr>
    <w:rPr>
      <w:rFonts w:ascii="Arial" w:hAnsi="Arial" w:cs="Arial"/>
      <w:b/>
      <w:snapToGrid w:val="0"/>
    </w:rPr>
  </w:style>
  <w:style w:type="paragraph" w:customStyle="1" w:styleId="tabletext">
    <w:name w:val="table text"/>
    <w:basedOn w:val="Normal"/>
    <w:pPr>
      <w:spacing w:before="20" w:after="20"/>
    </w:pPr>
    <w:rPr>
      <w:rFonts w:ascii="Arial" w:eastAsia="Arial Unicode MS" w:hAnsi="Arial" w:cs="Arial"/>
      <w:sz w:val="20"/>
    </w:rPr>
  </w:style>
  <w:style w:type="paragraph" w:customStyle="1" w:styleId="tablehead2">
    <w:name w:val="table head2"/>
    <w:basedOn w:val="Normal"/>
    <w:pPr>
      <w:spacing w:before="60" w:after="60"/>
      <w:jc w:val="center"/>
    </w:pPr>
    <w:rPr>
      <w:rFonts w:ascii="Arial" w:hAnsi="Arial" w:cs="Arial"/>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442</Words>
  <Characters>2523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TABLE 4-7-3 General Activity Room</vt:lpstr>
    </vt:vector>
  </TitlesOfParts>
  <Company>United States Department of Defense</Company>
  <LinksUpToDate>false</LinksUpToDate>
  <CharactersWithSpaces>2960</CharactersWithSpaces>
  <SharedDoc>false</SharedDoc>
  <HLinks>
    <vt:vector size="24" baseType="variant">
      <vt:variant>
        <vt:i4>6619251</vt:i4>
      </vt:variant>
      <vt:variant>
        <vt:i4>2617</vt:i4>
      </vt:variant>
      <vt:variant>
        <vt:i4>1027</vt:i4>
      </vt:variant>
      <vt:variant>
        <vt:i4>1</vt:i4>
      </vt:variant>
      <vt:variant>
        <vt:lpwstr>se</vt:lpwstr>
      </vt:variant>
      <vt:variant>
        <vt:lpwstr/>
      </vt:variant>
      <vt:variant>
        <vt:i4>6619251</vt:i4>
      </vt:variant>
      <vt:variant>
        <vt:i4>3552</vt:i4>
      </vt:variant>
      <vt:variant>
        <vt:i4>1026</vt:i4>
      </vt:variant>
      <vt:variant>
        <vt:i4>1</vt:i4>
      </vt:variant>
      <vt:variant>
        <vt:lpwstr>se</vt:lpwstr>
      </vt:variant>
      <vt:variant>
        <vt:lpwstr/>
      </vt:variant>
      <vt:variant>
        <vt:i4>6619251</vt:i4>
      </vt:variant>
      <vt:variant>
        <vt:i4>3788</vt:i4>
      </vt:variant>
      <vt:variant>
        <vt:i4>1025</vt:i4>
      </vt:variant>
      <vt:variant>
        <vt:i4>1</vt:i4>
      </vt:variant>
      <vt:variant>
        <vt:lpwstr>se</vt:lpwstr>
      </vt:variant>
      <vt:variant>
        <vt:lpwstr/>
      </vt:variant>
      <vt:variant>
        <vt:i4>6225944</vt:i4>
      </vt:variant>
      <vt:variant>
        <vt:i4>-1</vt:i4>
      </vt:variant>
      <vt:variant>
        <vt:i4>1026</vt:i4>
      </vt:variant>
      <vt:variant>
        <vt:i4>1</vt:i4>
      </vt:variant>
      <vt:variant>
        <vt:lpwstr>Fig%204-X%20act%20rm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4-7-3 General Activity Room</dc:title>
  <dc:subject/>
  <cp:keywords/>
  <dc:description/>
  <cp:revision>2</cp:revision>
  <dcterms:created xsi:type="dcterms:W3CDTF">2024-06-06T17:35:00Z</dcterms:created>
  <dcterms:modified xsi:type="dcterms:W3CDTF">2024-06-06T17:35:00Z</dcterms:modified>
  <cp:category>UFC</cp:category>
</cp:coreProperties>
</file>