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C8C71" w14:textId="77777777" w:rsidR="00000000" w:rsidRDefault="00000000">
      <w:pPr>
        <w:pStyle w:val="UFCtable"/>
      </w:pPr>
      <w:bookmarkStart w:id="0" w:name="_Toc107214778"/>
      <w:r>
        <w:t>TABLE 4-3.</w:t>
      </w:r>
      <w:proofErr w:type="gramStart"/>
      <w:r>
        <w:t>3  COPY</w:t>
      </w:r>
      <w:proofErr w:type="gramEnd"/>
      <w:r>
        <w:t>/FILE AREA</w:t>
      </w:r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6820F1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3684AEC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left w:val="nil"/>
            </w:tcBorders>
          </w:tcPr>
          <w:p w14:paraId="1B31FF6E" w14:textId="77777777" w:rsidR="00000000" w:rsidRDefault="00000000">
            <w:pPr>
              <w:pStyle w:val="tabletext"/>
            </w:pPr>
            <w:r>
              <w:t xml:space="preserve">This area could be either enclosed and centralized or open and decentralized within the </w:t>
            </w:r>
            <w:proofErr w:type="gramStart"/>
            <w:r>
              <w:t>Administrative</w:t>
            </w:r>
            <w:proofErr w:type="gramEnd"/>
            <w:r>
              <w:t xml:space="preserve"> area.  It houses copy machines, printers other than those dedicated to specific individuals, filing cabinets, and storage for general office supplies.  In addition, provide sufficient space to </w:t>
            </w:r>
            <w:proofErr w:type="gramStart"/>
            <w:r>
              <w:t>act as</w:t>
            </w:r>
            <w:proofErr w:type="gramEnd"/>
            <w:r>
              <w:t xml:space="preserve"> a workroom for staff to allow for collating documents, presentations, and work projects.</w:t>
            </w:r>
          </w:p>
        </w:tc>
      </w:tr>
      <w:tr w:rsidR="00000000" w14:paraId="0AF28B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52DBEED1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left w:val="nil"/>
            </w:tcBorders>
          </w:tcPr>
          <w:p w14:paraId="5A65B58B" w14:textId="77777777" w:rsidR="00000000" w:rsidRDefault="00000000">
            <w:pPr>
              <w:pStyle w:val="tabletext"/>
            </w:pPr>
            <w:r>
              <w:t>2.44 m (8 ft.) minimum.</w:t>
            </w:r>
          </w:p>
        </w:tc>
      </w:tr>
      <w:tr w:rsidR="00000000" w14:paraId="21C155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15E776E7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6BC939F5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Walls. </w:t>
            </w:r>
            <w:r>
              <w:t xml:space="preserve"> Painted gypsum wallboard or vinyl wall covering.</w:t>
            </w:r>
          </w:p>
        </w:tc>
      </w:tr>
      <w:tr w:rsidR="00000000" w14:paraId="3DA2AC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10EBA6D6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3B6C1D09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VCT with vinyl or rubber base.</w:t>
            </w:r>
          </w:p>
        </w:tc>
      </w:tr>
      <w:tr w:rsidR="00000000" w14:paraId="4699BC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bottom w:val="nil"/>
              <w:right w:val="nil"/>
            </w:tcBorders>
          </w:tcPr>
          <w:p w14:paraId="24B02B85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</w:tcBorders>
          </w:tcPr>
          <w:p w14:paraId="15826642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ACP</w:t>
            </w:r>
          </w:p>
        </w:tc>
      </w:tr>
      <w:tr w:rsidR="00000000" w14:paraId="10C185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12EB1C9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left w:val="nil"/>
            </w:tcBorders>
          </w:tcPr>
          <w:p w14:paraId="60B4BCF2" w14:textId="77777777" w:rsidR="00000000" w:rsidRDefault="00000000">
            <w:pPr>
              <w:pStyle w:val="tabletext"/>
            </w:pPr>
            <w:r>
              <w:t>None required.</w:t>
            </w:r>
          </w:p>
        </w:tc>
      </w:tr>
      <w:tr w:rsidR="00000000" w14:paraId="52BBE0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6B3BB22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left w:val="nil"/>
            </w:tcBorders>
          </w:tcPr>
          <w:p w14:paraId="6C2E994C" w14:textId="77777777" w:rsidR="00000000" w:rsidRDefault="00000000">
            <w:pPr>
              <w:pStyle w:val="tabletext"/>
            </w:pPr>
            <w:r>
              <w:t>20 C (68 F) minimum, 26 C (78 F) maximum</w:t>
            </w:r>
          </w:p>
        </w:tc>
      </w:tr>
      <w:tr w:rsidR="00000000" w14:paraId="69F520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0CA77EF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left w:val="nil"/>
            </w:tcBorders>
          </w:tcPr>
          <w:p w14:paraId="10BE2744" w14:textId="77777777" w:rsidR="00000000" w:rsidRDefault="00000000">
            <w:pPr>
              <w:pStyle w:val="tabletext"/>
            </w:pPr>
            <w:r>
              <w:t>Provide system per paragraph 3-5.3.</w:t>
            </w:r>
          </w:p>
        </w:tc>
      </w:tr>
      <w:tr w:rsidR="00000000" w14:paraId="76B3E5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7BE38BE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left w:val="nil"/>
            </w:tcBorders>
          </w:tcPr>
          <w:p w14:paraId="637ABD0F" w14:textId="77777777" w:rsidR="00000000" w:rsidRDefault="00000000">
            <w:pPr>
              <w:pStyle w:val="tabletext"/>
            </w:pPr>
            <w:r>
              <w:t xml:space="preserve">Provide outlets per code and dedicated outlets for copiers and printers. </w:t>
            </w:r>
          </w:p>
        </w:tc>
      </w:tr>
      <w:tr w:rsidR="00000000" w14:paraId="4DC457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right w:val="nil"/>
            </w:tcBorders>
          </w:tcPr>
          <w:p w14:paraId="6E83E54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left w:val="nil"/>
            </w:tcBorders>
          </w:tcPr>
          <w:p w14:paraId="54FECB26" w14:textId="77777777" w:rsidR="00000000" w:rsidRDefault="00000000">
            <w:pPr>
              <w:pStyle w:val="tabletext"/>
            </w:pPr>
            <w:r>
              <w:t>540 lux (50 fc)</w:t>
            </w:r>
          </w:p>
        </w:tc>
      </w:tr>
      <w:tr w:rsidR="00000000" w14:paraId="389921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005357E4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185F770F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 </w:t>
            </w:r>
            <w:r>
              <w:t>Consider providing one outlet.</w:t>
            </w:r>
            <w:r>
              <w:rPr>
                <w:b/>
                <w:bCs/>
              </w:rPr>
              <w:t xml:space="preserve"> </w:t>
            </w:r>
          </w:p>
          <w:p w14:paraId="21673AE4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CATV/Internal Video.</w:t>
            </w:r>
            <w:r>
              <w:t xml:space="preserve"> None required. </w:t>
            </w:r>
          </w:p>
          <w:p w14:paraId="104B06C4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PA/Audio.  </w:t>
            </w:r>
            <w:r>
              <w:t>Provide a speaker.</w:t>
            </w:r>
          </w:p>
          <w:p w14:paraId="294F5343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Provide at least one line for </w:t>
            </w:r>
            <w:proofErr w:type="gramStart"/>
            <w:r>
              <w:t>telephone</w:t>
            </w:r>
            <w:proofErr w:type="gramEnd"/>
            <w:r>
              <w:t xml:space="preserve"> and one additional line, if appropriate, for a facsimile machine.</w:t>
            </w:r>
          </w:p>
          <w:p w14:paraId="633A04CF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Data.  </w:t>
            </w:r>
            <w:r>
              <w:rPr>
                <w:bCs/>
              </w:rPr>
              <w:t>As necessary for network printers.</w:t>
            </w:r>
            <w:r>
              <w:rPr>
                <w:b/>
                <w:bCs/>
              </w:rPr>
              <w:t xml:space="preserve"> </w:t>
            </w:r>
            <w:r>
              <w:t xml:space="preserve"> </w:t>
            </w:r>
          </w:p>
          <w:p w14:paraId="43D76060" w14:textId="77777777" w:rsidR="00000000" w:rsidRDefault="00000000">
            <w:pPr>
              <w:pStyle w:val="tabletext"/>
              <w:tabs>
                <w:tab w:val="left" w:pos="7113"/>
              </w:tabs>
            </w:pPr>
            <w:r>
              <w:rPr>
                <w:b/>
                <w:bCs/>
              </w:rPr>
              <w:t>Security.</w:t>
            </w:r>
            <w:r>
              <w:t xml:space="preserve">  Lockable area for filing or lockable filing cabinets.</w:t>
            </w:r>
          </w:p>
        </w:tc>
      </w:tr>
      <w:tr w:rsidR="00000000" w14:paraId="179DDF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single" w:sz="4" w:space="0" w:color="auto"/>
              <w:right w:val="nil"/>
            </w:tcBorders>
          </w:tcPr>
          <w:p w14:paraId="659EC243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left w:val="nil"/>
              <w:bottom w:val="single" w:sz="4" w:space="0" w:color="auto"/>
            </w:tcBorders>
          </w:tcPr>
          <w:p w14:paraId="168F6EE4" w14:textId="77777777" w:rsidR="00000000" w:rsidRDefault="00000000">
            <w:pPr>
              <w:pStyle w:val="tabletext"/>
            </w:pPr>
            <w:r>
              <w:t xml:space="preserve">610-mm (24-in.) deep countertop.  Lockable base and wall cabinets and storage shelves.  </w:t>
            </w:r>
          </w:p>
        </w:tc>
      </w:tr>
      <w:tr w:rsidR="00000000" w14:paraId="4B9835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bottom w:val="nil"/>
              <w:right w:val="nil"/>
            </w:tcBorders>
          </w:tcPr>
          <w:p w14:paraId="1E95B29C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Equipment (FF&amp;E)</w:t>
            </w: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6FF1DFB6" w14:textId="77777777" w:rsidR="00000000" w:rsidRDefault="00000000">
            <w:pPr>
              <w:pStyle w:val="tabletext"/>
            </w:pPr>
            <w:r>
              <w:t>Photocopy machine and other office equipment, as appropriate.</w:t>
            </w:r>
          </w:p>
          <w:p w14:paraId="2D204F8A" w14:textId="77777777" w:rsidR="00000000" w:rsidRDefault="00000000">
            <w:pPr>
              <w:pStyle w:val="tabletext"/>
            </w:pPr>
            <w:proofErr w:type="gramStart"/>
            <w:r>
              <w:t>Work table</w:t>
            </w:r>
            <w:proofErr w:type="gramEnd"/>
            <w:r>
              <w:t xml:space="preserve"> for collating documents and other work.</w:t>
            </w:r>
          </w:p>
        </w:tc>
      </w:tr>
      <w:tr w:rsidR="00000000" w14:paraId="252E9C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57BCED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Requirements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5F78ED1" w14:textId="77777777" w:rsidR="00000000" w:rsidRDefault="00000000">
            <w:pPr>
              <w:pStyle w:val="tabletext"/>
            </w:pPr>
            <w:r>
              <w:t>If this is a dedicated room with a door, provide a vision panel.</w:t>
            </w:r>
          </w:p>
        </w:tc>
      </w:tr>
      <w:tr w:rsidR="00000000" w14:paraId="37ADA3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3D6DE5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196DE8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1B751010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74F5EC0F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2FBA14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2887A802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45116A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640AD1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10B7425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1786D6D" w14:textId="77777777" w:rsidR="00000000" w:rsidRDefault="00000000">
            <w:pPr>
              <w:pStyle w:val="tabletext"/>
            </w:pPr>
          </w:p>
        </w:tc>
      </w:tr>
    </w:tbl>
    <w:p w14:paraId="0E1132D8" w14:textId="77777777" w:rsidR="009B788A" w:rsidRDefault="009B788A"/>
    <w:sectPr w:rsidR="009B78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039429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8A6"/>
    <w:rsid w:val="009B788A"/>
    <w:rsid w:val="00FC68A6"/>
    <w:rsid w:val="00FF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2BF66B"/>
  <w15:chartTrackingRefBased/>
  <w15:docId w15:val="{A24DF026-4E72-4226-B328-FD09D1CFC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4-3-3 Copy File Area</vt:lpstr>
    </vt:vector>
  </TitlesOfParts>
  <Company>United States Department of Defense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4-3-3 Copy File Area</dc:title>
  <dc:subject/>
  <cp:keywords/>
  <dc:description/>
  <cp:revision>2</cp:revision>
  <dcterms:created xsi:type="dcterms:W3CDTF">2024-06-06T18:41:00Z</dcterms:created>
  <dcterms:modified xsi:type="dcterms:W3CDTF">2024-06-06T18:41:00Z</dcterms:modified>
  <cp:category>UFC</cp:category>
</cp:coreProperties>
</file>