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8372A" w14:textId="77777777" w:rsidR="00000000" w:rsidRDefault="00000000">
      <w:pPr>
        <w:pStyle w:val="UFCtable"/>
      </w:pPr>
      <w:bookmarkStart w:id="0" w:name="_Toc107214776"/>
      <w:r>
        <w:t>TABLE 4-3.</w:t>
      </w:r>
      <w:proofErr w:type="gramStart"/>
      <w:r>
        <w:t>1  ADMINISTRATIVE</w:t>
      </w:r>
      <w:proofErr w:type="gramEnd"/>
      <w:r>
        <w:t xml:space="preserve"> OFFICES</w:t>
      </w:r>
      <w:bookmarkEnd w:id="0"/>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920"/>
      </w:tblGrid>
      <w:tr w:rsidR="00000000" w14:paraId="49362089" w14:textId="77777777">
        <w:tblPrEx>
          <w:tblCellMar>
            <w:top w:w="0" w:type="dxa"/>
            <w:bottom w:w="0" w:type="dxa"/>
          </w:tblCellMar>
        </w:tblPrEx>
        <w:trPr>
          <w:cantSplit/>
        </w:trPr>
        <w:tc>
          <w:tcPr>
            <w:tcW w:w="1728" w:type="dxa"/>
            <w:tcBorders>
              <w:right w:val="nil"/>
            </w:tcBorders>
          </w:tcPr>
          <w:p w14:paraId="6AD9263D" w14:textId="77777777" w:rsidR="00000000" w:rsidRDefault="00000000">
            <w:pPr>
              <w:pStyle w:val="tabletext"/>
              <w:rPr>
                <w:b/>
                <w:bCs/>
              </w:rPr>
            </w:pPr>
            <w:r>
              <w:rPr>
                <w:b/>
                <w:bCs/>
              </w:rPr>
              <w:t>Description/</w:t>
            </w:r>
            <w:r>
              <w:rPr>
                <w:b/>
                <w:bCs/>
              </w:rPr>
              <w:br/>
              <w:t>Usage</w:t>
            </w:r>
          </w:p>
        </w:tc>
        <w:tc>
          <w:tcPr>
            <w:tcW w:w="7920" w:type="dxa"/>
            <w:tcBorders>
              <w:left w:val="nil"/>
            </w:tcBorders>
          </w:tcPr>
          <w:p w14:paraId="279CE627" w14:textId="77777777" w:rsidR="00000000" w:rsidRDefault="00000000">
            <w:pPr>
              <w:pStyle w:val="tabletext"/>
            </w:pPr>
            <w:r>
              <w:t xml:space="preserve">The Administrative Offices consist of a mix of closed and open office space.  The quantity and selection of closed offices is facility specific.  The remaining staff sits in open offices or workstations arranged in an open office plan with systems furniture.  All offices are used for planning, developing, organizing, supervising, implementing, promoting, and evaluating facility operations.  The offices should be free from frequent distraction, have a professional appearance, and provide a sense of </w:t>
            </w:r>
            <w:proofErr w:type="gramStart"/>
            <w:r>
              <w:t>work place</w:t>
            </w:r>
            <w:proofErr w:type="gramEnd"/>
            <w:r>
              <w:t>.</w:t>
            </w:r>
          </w:p>
        </w:tc>
      </w:tr>
      <w:tr w:rsidR="00000000" w14:paraId="16B0767B" w14:textId="77777777">
        <w:tblPrEx>
          <w:tblCellMar>
            <w:top w:w="0" w:type="dxa"/>
            <w:bottom w:w="0" w:type="dxa"/>
          </w:tblCellMar>
        </w:tblPrEx>
        <w:trPr>
          <w:cantSplit/>
        </w:trPr>
        <w:tc>
          <w:tcPr>
            <w:tcW w:w="1728" w:type="dxa"/>
            <w:tcBorders>
              <w:right w:val="nil"/>
            </w:tcBorders>
          </w:tcPr>
          <w:p w14:paraId="3C8B14B7" w14:textId="77777777" w:rsidR="00000000" w:rsidRDefault="00000000">
            <w:pPr>
              <w:pStyle w:val="tabletext"/>
              <w:rPr>
                <w:b/>
                <w:bCs/>
              </w:rPr>
            </w:pPr>
            <w:r>
              <w:rPr>
                <w:b/>
                <w:bCs/>
              </w:rPr>
              <w:t>Min. Ceiling Ht.</w:t>
            </w:r>
          </w:p>
        </w:tc>
        <w:tc>
          <w:tcPr>
            <w:tcW w:w="7920" w:type="dxa"/>
            <w:tcBorders>
              <w:left w:val="nil"/>
            </w:tcBorders>
          </w:tcPr>
          <w:p w14:paraId="3EA68E5E" w14:textId="77777777" w:rsidR="00000000" w:rsidRDefault="00000000">
            <w:pPr>
              <w:pStyle w:val="tabletext"/>
            </w:pPr>
            <w:r>
              <w:t>2.44 m (8 ft.) minimum.</w:t>
            </w:r>
          </w:p>
        </w:tc>
      </w:tr>
      <w:tr w:rsidR="00000000" w14:paraId="511FA791" w14:textId="77777777">
        <w:tblPrEx>
          <w:tblCellMar>
            <w:top w:w="0" w:type="dxa"/>
            <w:bottom w:w="0" w:type="dxa"/>
          </w:tblCellMar>
        </w:tblPrEx>
        <w:trPr>
          <w:cantSplit/>
        </w:trPr>
        <w:tc>
          <w:tcPr>
            <w:tcW w:w="1728" w:type="dxa"/>
            <w:tcBorders>
              <w:top w:val="nil"/>
              <w:bottom w:val="nil"/>
              <w:right w:val="nil"/>
            </w:tcBorders>
          </w:tcPr>
          <w:p w14:paraId="0ABE075B" w14:textId="77777777" w:rsidR="00000000" w:rsidRDefault="00000000">
            <w:pPr>
              <w:pStyle w:val="tabletext"/>
              <w:rPr>
                <w:b/>
                <w:bCs/>
              </w:rPr>
            </w:pPr>
            <w:r>
              <w:rPr>
                <w:b/>
                <w:bCs/>
              </w:rPr>
              <w:t>Finishes</w:t>
            </w:r>
          </w:p>
        </w:tc>
        <w:tc>
          <w:tcPr>
            <w:tcW w:w="7920" w:type="dxa"/>
            <w:tcBorders>
              <w:top w:val="nil"/>
              <w:left w:val="nil"/>
              <w:bottom w:val="nil"/>
            </w:tcBorders>
          </w:tcPr>
          <w:p w14:paraId="372CEA27" w14:textId="77777777" w:rsidR="00000000" w:rsidRDefault="00000000">
            <w:pPr>
              <w:pStyle w:val="tabletext"/>
            </w:pPr>
            <w:r>
              <w:rPr>
                <w:b/>
                <w:bCs/>
              </w:rPr>
              <w:t xml:space="preserve">Walls. </w:t>
            </w:r>
            <w:r>
              <w:t xml:space="preserve"> Painted gypsum wallboard or vinyl wall covering.</w:t>
            </w:r>
          </w:p>
        </w:tc>
      </w:tr>
      <w:tr w:rsidR="00000000" w14:paraId="02974DFC" w14:textId="77777777">
        <w:tblPrEx>
          <w:tblCellMar>
            <w:top w:w="0" w:type="dxa"/>
            <w:bottom w:w="0" w:type="dxa"/>
          </w:tblCellMar>
        </w:tblPrEx>
        <w:trPr>
          <w:cantSplit/>
        </w:trPr>
        <w:tc>
          <w:tcPr>
            <w:tcW w:w="1728" w:type="dxa"/>
            <w:tcBorders>
              <w:top w:val="nil"/>
              <w:bottom w:val="nil"/>
              <w:right w:val="nil"/>
            </w:tcBorders>
          </w:tcPr>
          <w:p w14:paraId="466C57DE" w14:textId="77777777" w:rsidR="00000000" w:rsidRDefault="00000000">
            <w:pPr>
              <w:pStyle w:val="tabletext"/>
            </w:pPr>
          </w:p>
        </w:tc>
        <w:tc>
          <w:tcPr>
            <w:tcW w:w="7920" w:type="dxa"/>
            <w:tcBorders>
              <w:top w:val="nil"/>
              <w:left w:val="nil"/>
              <w:bottom w:val="nil"/>
            </w:tcBorders>
          </w:tcPr>
          <w:p w14:paraId="4573B298" w14:textId="77777777" w:rsidR="00000000" w:rsidRDefault="00000000">
            <w:pPr>
              <w:pStyle w:val="tabletext"/>
            </w:pPr>
            <w:r>
              <w:rPr>
                <w:b/>
                <w:bCs/>
              </w:rPr>
              <w:t>Floor.</w:t>
            </w:r>
            <w:r>
              <w:t xml:space="preserve">  Carpet with vinyl or rubber base</w:t>
            </w:r>
          </w:p>
        </w:tc>
      </w:tr>
      <w:tr w:rsidR="00000000" w14:paraId="27C2B9CD" w14:textId="77777777">
        <w:tblPrEx>
          <w:tblCellMar>
            <w:top w:w="0" w:type="dxa"/>
            <w:bottom w:w="0" w:type="dxa"/>
          </w:tblCellMar>
        </w:tblPrEx>
        <w:trPr>
          <w:cantSplit/>
        </w:trPr>
        <w:tc>
          <w:tcPr>
            <w:tcW w:w="1728" w:type="dxa"/>
            <w:tcBorders>
              <w:top w:val="nil"/>
              <w:bottom w:val="nil"/>
              <w:right w:val="nil"/>
            </w:tcBorders>
          </w:tcPr>
          <w:p w14:paraId="01976B15" w14:textId="77777777" w:rsidR="00000000" w:rsidRDefault="00000000">
            <w:pPr>
              <w:pStyle w:val="tabletext"/>
            </w:pPr>
          </w:p>
        </w:tc>
        <w:tc>
          <w:tcPr>
            <w:tcW w:w="7920" w:type="dxa"/>
            <w:tcBorders>
              <w:top w:val="nil"/>
              <w:left w:val="nil"/>
              <w:bottom w:val="nil"/>
            </w:tcBorders>
          </w:tcPr>
          <w:p w14:paraId="28F3B064" w14:textId="77777777" w:rsidR="00000000" w:rsidRDefault="00000000">
            <w:pPr>
              <w:pStyle w:val="tabletext"/>
            </w:pPr>
            <w:r>
              <w:rPr>
                <w:b/>
                <w:bCs/>
              </w:rPr>
              <w:t>Ceiling.</w:t>
            </w:r>
            <w:r>
              <w:t xml:space="preserve">  ACP</w:t>
            </w:r>
          </w:p>
        </w:tc>
      </w:tr>
      <w:tr w:rsidR="00000000" w14:paraId="64F38A03" w14:textId="77777777">
        <w:tblPrEx>
          <w:tblCellMar>
            <w:top w:w="0" w:type="dxa"/>
            <w:bottom w:w="0" w:type="dxa"/>
          </w:tblCellMar>
        </w:tblPrEx>
        <w:trPr>
          <w:cantSplit/>
        </w:trPr>
        <w:tc>
          <w:tcPr>
            <w:tcW w:w="1728" w:type="dxa"/>
            <w:tcBorders>
              <w:right w:val="nil"/>
            </w:tcBorders>
          </w:tcPr>
          <w:p w14:paraId="745EAD1F" w14:textId="77777777" w:rsidR="00000000" w:rsidRDefault="00000000">
            <w:pPr>
              <w:pStyle w:val="tabletext"/>
              <w:rPr>
                <w:b/>
                <w:bCs/>
              </w:rPr>
            </w:pPr>
            <w:r>
              <w:rPr>
                <w:b/>
                <w:bCs/>
              </w:rPr>
              <w:t>Plumbing</w:t>
            </w:r>
          </w:p>
        </w:tc>
        <w:tc>
          <w:tcPr>
            <w:tcW w:w="7920" w:type="dxa"/>
            <w:tcBorders>
              <w:left w:val="nil"/>
            </w:tcBorders>
          </w:tcPr>
          <w:p w14:paraId="6F2476EE" w14:textId="77777777" w:rsidR="00000000" w:rsidRDefault="00000000">
            <w:pPr>
              <w:pStyle w:val="tabletext"/>
            </w:pPr>
            <w:r>
              <w:t>None required.</w:t>
            </w:r>
          </w:p>
        </w:tc>
      </w:tr>
      <w:tr w:rsidR="00000000" w14:paraId="5775C476" w14:textId="77777777">
        <w:tblPrEx>
          <w:tblCellMar>
            <w:top w:w="0" w:type="dxa"/>
            <w:bottom w:w="0" w:type="dxa"/>
          </w:tblCellMar>
        </w:tblPrEx>
        <w:trPr>
          <w:cantSplit/>
        </w:trPr>
        <w:tc>
          <w:tcPr>
            <w:tcW w:w="1728" w:type="dxa"/>
            <w:tcBorders>
              <w:right w:val="nil"/>
            </w:tcBorders>
          </w:tcPr>
          <w:p w14:paraId="6E02712D" w14:textId="77777777" w:rsidR="00000000" w:rsidRDefault="00000000">
            <w:pPr>
              <w:pStyle w:val="tabletext"/>
              <w:rPr>
                <w:b/>
                <w:bCs/>
              </w:rPr>
            </w:pPr>
            <w:r>
              <w:rPr>
                <w:b/>
                <w:bCs/>
              </w:rPr>
              <w:t>HVAC</w:t>
            </w:r>
          </w:p>
        </w:tc>
        <w:tc>
          <w:tcPr>
            <w:tcW w:w="7920" w:type="dxa"/>
            <w:tcBorders>
              <w:left w:val="nil"/>
            </w:tcBorders>
          </w:tcPr>
          <w:p w14:paraId="6EBCAE40" w14:textId="77777777" w:rsidR="00000000" w:rsidRDefault="00000000">
            <w:pPr>
              <w:pStyle w:val="tabletext"/>
            </w:pPr>
            <w:r>
              <w:t>20 C (68 F) minimum, 26 C (78 F) maximum</w:t>
            </w:r>
          </w:p>
        </w:tc>
      </w:tr>
      <w:tr w:rsidR="00000000" w14:paraId="3D19B06D" w14:textId="77777777">
        <w:tblPrEx>
          <w:tblCellMar>
            <w:top w:w="0" w:type="dxa"/>
            <w:bottom w:w="0" w:type="dxa"/>
          </w:tblCellMar>
        </w:tblPrEx>
        <w:trPr>
          <w:cantSplit/>
        </w:trPr>
        <w:tc>
          <w:tcPr>
            <w:tcW w:w="1728" w:type="dxa"/>
            <w:tcBorders>
              <w:right w:val="nil"/>
            </w:tcBorders>
          </w:tcPr>
          <w:p w14:paraId="5BFEBC68" w14:textId="77777777" w:rsidR="00000000" w:rsidRDefault="00000000">
            <w:pPr>
              <w:pStyle w:val="tabletext"/>
              <w:rPr>
                <w:b/>
                <w:bCs/>
              </w:rPr>
            </w:pPr>
            <w:r>
              <w:rPr>
                <w:b/>
                <w:bCs/>
              </w:rPr>
              <w:t>Fire Protection</w:t>
            </w:r>
          </w:p>
        </w:tc>
        <w:tc>
          <w:tcPr>
            <w:tcW w:w="7920" w:type="dxa"/>
            <w:tcBorders>
              <w:left w:val="nil"/>
            </w:tcBorders>
          </w:tcPr>
          <w:p w14:paraId="568EBDF1" w14:textId="77777777" w:rsidR="00000000" w:rsidRDefault="00000000">
            <w:pPr>
              <w:pStyle w:val="tabletext"/>
            </w:pPr>
            <w:r>
              <w:t>Provide system per paragraph 3-5.3.</w:t>
            </w:r>
          </w:p>
        </w:tc>
      </w:tr>
      <w:tr w:rsidR="00000000" w14:paraId="313288F2" w14:textId="77777777">
        <w:tblPrEx>
          <w:tblCellMar>
            <w:top w:w="0" w:type="dxa"/>
            <w:bottom w:w="0" w:type="dxa"/>
          </w:tblCellMar>
        </w:tblPrEx>
        <w:trPr>
          <w:cantSplit/>
        </w:trPr>
        <w:tc>
          <w:tcPr>
            <w:tcW w:w="1728" w:type="dxa"/>
            <w:tcBorders>
              <w:right w:val="nil"/>
            </w:tcBorders>
          </w:tcPr>
          <w:p w14:paraId="1D921254" w14:textId="77777777" w:rsidR="00000000" w:rsidRDefault="00000000">
            <w:pPr>
              <w:pStyle w:val="tabletext"/>
              <w:rPr>
                <w:b/>
                <w:bCs/>
              </w:rPr>
            </w:pPr>
            <w:r>
              <w:rPr>
                <w:b/>
                <w:bCs/>
              </w:rPr>
              <w:t>Power</w:t>
            </w:r>
          </w:p>
        </w:tc>
        <w:tc>
          <w:tcPr>
            <w:tcW w:w="7920" w:type="dxa"/>
            <w:tcBorders>
              <w:left w:val="nil"/>
            </w:tcBorders>
          </w:tcPr>
          <w:p w14:paraId="07D5D3FF" w14:textId="77777777" w:rsidR="00000000" w:rsidRDefault="00000000">
            <w:pPr>
              <w:pStyle w:val="tabletext"/>
            </w:pPr>
            <w:r>
              <w:t xml:space="preserve">Ensure an adequate number of circuits to power all equipment.  Provide a minimum of one quad outlet in closed offices on at least three walls.  Gang outlets with data and telephone.  Workstations should provide at least one quad outlet per </w:t>
            </w:r>
            <w:proofErr w:type="gramStart"/>
            <w:r>
              <w:t>staff</w:t>
            </w:r>
            <w:proofErr w:type="gramEnd"/>
            <w:r>
              <w:t>.  Provide additional outlets as necessary to operate shared equipment such as printers, fax, etc.</w:t>
            </w:r>
          </w:p>
        </w:tc>
      </w:tr>
      <w:tr w:rsidR="00000000" w14:paraId="5CF19310" w14:textId="77777777">
        <w:tblPrEx>
          <w:tblCellMar>
            <w:top w:w="0" w:type="dxa"/>
            <w:bottom w:w="0" w:type="dxa"/>
          </w:tblCellMar>
        </w:tblPrEx>
        <w:trPr>
          <w:cantSplit/>
        </w:trPr>
        <w:tc>
          <w:tcPr>
            <w:tcW w:w="1728" w:type="dxa"/>
            <w:tcBorders>
              <w:right w:val="nil"/>
            </w:tcBorders>
          </w:tcPr>
          <w:p w14:paraId="7ABC854D" w14:textId="77777777" w:rsidR="00000000" w:rsidRDefault="00000000">
            <w:pPr>
              <w:pStyle w:val="tabletext"/>
              <w:rPr>
                <w:b/>
                <w:bCs/>
              </w:rPr>
            </w:pPr>
            <w:r>
              <w:rPr>
                <w:b/>
                <w:bCs/>
              </w:rPr>
              <w:t>Lighting</w:t>
            </w:r>
          </w:p>
        </w:tc>
        <w:tc>
          <w:tcPr>
            <w:tcW w:w="7920" w:type="dxa"/>
            <w:tcBorders>
              <w:left w:val="nil"/>
            </w:tcBorders>
          </w:tcPr>
          <w:p w14:paraId="2D52CF90" w14:textId="77777777" w:rsidR="00000000" w:rsidRDefault="00000000">
            <w:pPr>
              <w:pStyle w:val="tabletext"/>
            </w:pPr>
            <w:r>
              <w:t>540 lux (50 fc).  General ambient fixtures.</w:t>
            </w:r>
          </w:p>
        </w:tc>
      </w:tr>
      <w:tr w:rsidR="00000000" w14:paraId="1D5043F6" w14:textId="77777777">
        <w:tblPrEx>
          <w:tblCellMar>
            <w:top w:w="0" w:type="dxa"/>
            <w:bottom w:w="0" w:type="dxa"/>
          </w:tblCellMar>
        </w:tblPrEx>
        <w:trPr>
          <w:cantSplit/>
        </w:trPr>
        <w:tc>
          <w:tcPr>
            <w:tcW w:w="1728" w:type="dxa"/>
            <w:tcBorders>
              <w:bottom w:val="single" w:sz="4" w:space="0" w:color="auto"/>
              <w:right w:val="nil"/>
            </w:tcBorders>
          </w:tcPr>
          <w:p w14:paraId="3AA3BF27" w14:textId="77777777" w:rsidR="00000000" w:rsidRDefault="00000000">
            <w:pPr>
              <w:pStyle w:val="tabletext"/>
              <w:rPr>
                <w:b/>
                <w:bCs/>
              </w:rPr>
            </w:pPr>
            <w:r>
              <w:rPr>
                <w:b/>
                <w:bCs/>
              </w:rPr>
              <w:t>Communication</w:t>
            </w:r>
          </w:p>
        </w:tc>
        <w:tc>
          <w:tcPr>
            <w:tcW w:w="7920" w:type="dxa"/>
            <w:tcBorders>
              <w:left w:val="nil"/>
              <w:bottom w:val="single" w:sz="4" w:space="0" w:color="auto"/>
            </w:tcBorders>
          </w:tcPr>
          <w:p w14:paraId="36E91C0D" w14:textId="77777777" w:rsidR="00000000" w:rsidRDefault="00000000">
            <w:pPr>
              <w:pStyle w:val="tabletext"/>
            </w:pPr>
            <w:r>
              <w:rPr>
                <w:b/>
                <w:bCs/>
              </w:rPr>
              <w:t xml:space="preserve">CCTV.  </w:t>
            </w:r>
            <w:r>
              <w:t xml:space="preserve">Provide one outlet for remote monitor in </w:t>
            </w:r>
            <w:proofErr w:type="gramStart"/>
            <w:r>
              <w:t>Director’s</w:t>
            </w:r>
            <w:proofErr w:type="gramEnd"/>
            <w:r>
              <w:t xml:space="preserve"> office and one for the </w:t>
            </w:r>
            <w:proofErr w:type="gramStart"/>
            <w:r>
              <w:t>School</w:t>
            </w:r>
            <w:proofErr w:type="gramEnd"/>
            <w:r>
              <w:t>-age Coordinator.</w:t>
            </w:r>
          </w:p>
          <w:p w14:paraId="27E5F33E" w14:textId="77777777" w:rsidR="00000000" w:rsidRDefault="00000000">
            <w:pPr>
              <w:pStyle w:val="tabletext"/>
              <w:rPr>
                <w:b/>
                <w:bCs/>
              </w:rPr>
            </w:pPr>
            <w:r>
              <w:rPr>
                <w:b/>
                <w:bCs/>
              </w:rPr>
              <w:t>CATV/Internal Video:</w:t>
            </w:r>
            <w:r>
              <w:t xml:space="preserve">  None required.</w:t>
            </w:r>
          </w:p>
          <w:p w14:paraId="3BB1672B" w14:textId="77777777" w:rsidR="00000000" w:rsidRDefault="00000000">
            <w:pPr>
              <w:pStyle w:val="tabletext"/>
              <w:rPr>
                <w:b/>
                <w:bCs/>
              </w:rPr>
            </w:pPr>
            <w:r>
              <w:rPr>
                <w:b/>
                <w:bCs/>
              </w:rPr>
              <w:t xml:space="preserve">PA/Audio:  </w:t>
            </w:r>
            <w:r>
              <w:t>Provide a speaker.</w:t>
            </w:r>
          </w:p>
          <w:p w14:paraId="1FCFA7B4" w14:textId="77777777" w:rsidR="00000000" w:rsidRDefault="00000000">
            <w:pPr>
              <w:pStyle w:val="tabletext"/>
              <w:rPr>
                <w:b/>
                <w:bCs/>
              </w:rPr>
            </w:pPr>
            <w:r>
              <w:rPr>
                <w:b/>
                <w:bCs/>
              </w:rPr>
              <w:t>Telephone.</w:t>
            </w:r>
            <w:r>
              <w:t xml:space="preserve">  Provide one line per staff plus one additional line for fax and copier.</w:t>
            </w:r>
          </w:p>
          <w:p w14:paraId="7C615803" w14:textId="77777777" w:rsidR="00000000" w:rsidRDefault="00000000">
            <w:pPr>
              <w:pStyle w:val="tabletext"/>
              <w:rPr>
                <w:b/>
                <w:bCs/>
              </w:rPr>
            </w:pPr>
            <w:r>
              <w:rPr>
                <w:b/>
                <w:bCs/>
              </w:rPr>
              <w:t>Data.</w:t>
            </w:r>
            <w:r>
              <w:t xml:space="preserve">  Provide one outlet per staff plus one outlet for each printer, copier, scanner, etc.</w:t>
            </w:r>
          </w:p>
          <w:p w14:paraId="3D7A7110" w14:textId="77777777" w:rsidR="00000000" w:rsidRDefault="00000000">
            <w:pPr>
              <w:pStyle w:val="tabletext"/>
            </w:pPr>
            <w:r>
              <w:rPr>
                <w:b/>
                <w:bCs/>
              </w:rPr>
              <w:t>Security.</w:t>
            </w:r>
            <w:r>
              <w:t xml:space="preserve">  None required.</w:t>
            </w:r>
          </w:p>
        </w:tc>
      </w:tr>
      <w:tr w:rsidR="00000000" w14:paraId="27B1DB58" w14:textId="77777777">
        <w:tblPrEx>
          <w:tblCellMar>
            <w:top w:w="0" w:type="dxa"/>
            <w:bottom w:w="0" w:type="dxa"/>
          </w:tblCellMar>
        </w:tblPrEx>
        <w:trPr>
          <w:cantSplit/>
        </w:trPr>
        <w:tc>
          <w:tcPr>
            <w:tcW w:w="1728" w:type="dxa"/>
            <w:tcBorders>
              <w:bottom w:val="single" w:sz="4" w:space="0" w:color="auto"/>
              <w:right w:val="nil"/>
            </w:tcBorders>
          </w:tcPr>
          <w:p w14:paraId="2B4C0358" w14:textId="77777777" w:rsidR="00000000" w:rsidRDefault="00000000">
            <w:pPr>
              <w:pStyle w:val="tabletext"/>
              <w:rPr>
                <w:b/>
                <w:bCs/>
              </w:rPr>
            </w:pPr>
            <w:r>
              <w:rPr>
                <w:b/>
                <w:bCs/>
              </w:rPr>
              <w:t>Casework</w:t>
            </w:r>
          </w:p>
        </w:tc>
        <w:tc>
          <w:tcPr>
            <w:tcW w:w="7920" w:type="dxa"/>
            <w:tcBorders>
              <w:left w:val="nil"/>
              <w:bottom w:val="single" w:sz="4" w:space="0" w:color="auto"/>
            </w:tcBorders>
          </w:tcPr>
          <w:p w14:paraId="1E290BAE" w14:textId="77777777" w:rsidR="00000000" w:rsidRDefault="00000000">
            <w:pPr>
              <w:pStyle w:val="tabletext"/>
            </w:pPr>
            <w:r>
              <w:t>None required.</w:t>
            </w:r>
          </w:p>
        </w:tc>
      </w:tr>
      <w:tr w:rsidR="00000000" w14:paraId="189964C5" w14:textId="77777777">
        <w:tblPrEx>
          <w:tblCellMar>
            <w:top w:w="0" w:type="dxa"/>
            <w:bottom w:w="0" w:type="dxa"/>
          </w:tblCellMar>
        </w:tblPrEx>
        <w:trPr>
          <w:cantSplit/>
        </w:trPr>
        <w:tc>
          <w:tcPr>
            <w:tcW w:w="1728" w:type="dxa"/>
            <w:tcBorders>
              <w:bottom w:val="nil"/>
              <w:right w:val="nil"/>
            </w:tcBorders>
          </w:tcPr>
          <w:p w14:paraId="6D387D3B" w14:textId="77777777" w:rsidR="00000000" w:rsidRDefault="00000000">
            <w:pPr>
              <w:pStyle w:val="tabletext"/>
              <w:rPr>
                <w:b/>
                <w:bCs/>
              </w:rPr>
            </w:pPr>
            <w:r>
              <w:rPr>
                <w:b/>
                <w:bCs/>
              </w:rPr>
              <w:t>Furnishings Fixtures &amp; Equipment (FF&amp;E)</w:t>
            </w:r>
          </w:p>
        </w:tc>
        <w:tc>
          <w:tcPr>
            <w:tcW w:w="7920" w:type="dxa"/>
            <w:tcBorders>
              <w:left w:val="nil"/>
              <w:bottom w:val="nil"/>
            </w:tcBorders>
          </w:tcPr>
          <w:p w14:paraId="2B293E77" w14:textId="77777777" w:rsidR="00000000" w:rsidRDefault="00000000">
            <w:pPr>
              <w:pStyle w:val="tabletext"/>
            </w:pPr>
            <w:r>
              <w:t xml:space="preserve">Private Offices—provide furniture for </w:t>
            </w:r>
            <w:proofErr w:type="gramStart"/>
            <w:r>
              <w:t>11</w:t>
            </w:r>
            <w:proofErr w:type="gramEnd"/>
            <w:r>
              <w:t xml:space="preserve"> m</w:t>
            </w:r>
            <w:r>
              <w:rPr>
                <w:vertAlign w:val="superscript"/>
              </w:rPr>
              <w:t>2</w:t>
            </w:r>
            <w:r>
              <w:t xml:space="preserve"> (120 ft.</w:t>
            </w:r>
            <w:r>
              <w:rPr>
                <w:vertAlign w:val="superscript"/>
              </w:rPr>
              <w:t>2</w:t>
            </w:r>
            <w:r>
              <w:t xml:space="preserve">) office:  desk, credenza, filing cabinet, desk chair and two side chairs.  </w:t>
            </w:r>
          </w:p>
          <w:p w14:paraId="684E22C9" w14:textId="77777777" w:rsidR="00000000" w:rsidRDefault="00000000">
            <w:pPr>
              <w:pStyle w:val="tabletext"/>
            </w:pPr>
            <w:r>
              <w:t>Workstations—provide furniture for 4.5 m</w:t>
            </w:r>
            <w:r>
              <w:rPr>
                <w:vertAlign w:val="superscript"/>
              </w:rPr>
              <w:t>2</w:t>
            </w:r>
            <w:r>
              <w:t xml:space="preserve"> (48 ft.</w:t>
            </w:r>
            <w:r>
              <w:rPr>
                <w:vertAlign w:val="superscript"/>
              </w:rPr>
              <w:t>2</w:t>
            </w:r>
            <w:r>
              <w:t>) workstation:  desk chair and side chair for open offices.  Workstation systems furniture must provide adequate space for filing and overhead storage.</w:t>
            </w:r>
          </w:p>
        </w:tc>
      </w:tr>
      <w:tr w:rsidR="00000000" w14:paraId="497A9A5C" w14:textId="77777777">
        <w:tblPrEx>
          <w:tblCellMar>
            <w:top w:w="0" w:type="dxa"/>
            <w:bottom w:w="0" w:type="dxa"/>
          </w:tblCellMar>
        </w:tblPrEx>
        <w:trPr>
          <w:cantSplit/>
        </w:trPr>
        <w:tc>
          <w:tcPr>
            <w:tcW w:w="1728" w:type="dxa"/>
            <w:tcBorders>
              <w:top w:val="single" w:sz="4" w:space="0" w:color="auto"/>
              <w:bottom w:val="single" w:sz="4" w:space="0" w:color="auto"/>
              <w:right w:val="nil"/>
            </w:tcBorders>
          </w:tcPr>
          <w:p w14:paraId="4FBB94AF" w14:textId="77777777" w:rsidR="00000000" w:rsidRDefault="00000000">
            <w:pPr>
              <w:pStyle w:val="tabletext"/>
              <w:rPr>
                <w:b/>
                <w:bCs/>
              </w:rPr>
            </w:pPr>
            <w:r>
              <w:rPr>
                <w:b/>
                <w:bCs/>
              </w:rPr>
              <w:t>Special Requirements</w:t>
            </w:r>
          </w:p>
        </w:tc>
        <w:tc>
          <w:tcPr>
            <w:tcW w:w="7920" w:type="dxa"/>
            <w:tcBorders>
              <w:top w:val="single" w:sz="4" w:space="0" w:color="auto"/>
              <w:left w:val="nil"/>
              <w:bottom w:val="single" w:sz="4" w:space="0" w:color="auto"/>
            </w:tcBorders>
          </w:tcPr>
          <w:p w14:paraId="6A43E379" w14:textId="77777777" w:rsidR="00000000" w:rsidRDefault="00000000">
            <w:pPr>
              <w:pStyle w:val="tabletext"/>
            </w:pPr>
            <w:r>
              <w:t>Provide vision panels in office doors.</w:t>
            </w:r>
          </w:p>
        </w:tc>
      </w:tr>
      <w:tr w:rsidR="00000000" w14:paraId="0127B152" w14:textId="77777777">
        <w:tblPrEx>
          <w:tblCellMar>
            <w:top w:w="0" w:type="dxa"/>
            <w:bottom w:w="0" w:type="dxa"/>
          </w:tblCellMar>
        </w:tblPrEx>
        <w:trPr>
          <w:cantSplit/>
        </w:trPr>
        <w:tc>
          <w:tcPr>
            <w:tcW w:w="9648" w:type="dxa"/>
            <w:gridSpan w:val="2"/>
            <w:tcBorders>
              <w:top w:val="single" w:sz="4" w:space="0" w:color="auto"/>
              <w:left w:val="single" w:sz="4" w:space="0" w:color="auto"/>
              <w:bottom w:val="nil"/>
              <w:right w:val="single" w:sz="4" w:space="0" w:color="auto"/>
            </w:tcBorders>
          </w:tcPr>
          <w:p w14:paraId="7F80897E" w14:textId="77777777" w:rsidR="00000000" w:rsidRDefault="00000000">
            <w:pPr>
              <w:pStyle w:val="tablehead2"/>
            </w:pPr>
            <w:r>
              <w:t>For use during project execution by the appropriate Service agency</w:t>
            </w:r>
          </w:p>
        </w:tc>
      </w:tr>
      <w:tr w:rsidR="00000000" w14:paraId="63DE7FE4" w14:textId="77777777">
        <w:tblPrEx>
          <w:tblCellMar>
            <w:top w:w="0" w:type="dxa"/>
            <w:bottom w:w="0" w:type="dxa"/>
          </w:tblCellMar>
        </w:tblPrEx>
        <w:trPr>
          <w:cantSplit/>
        </w:trPr>
        <w:tc>
          <w:tcPr>
            <w:tcW w:w="1728" w:type="dxa"/>
            <w:tcBorders>
              <w:top w:val="single" w:sz="4" w:space="0" w:color="auto"/>
              <w:left w:val="single" w:sz="4" w:space="0" w:color="auto"/>
              <w:bottom w:val="nil"/>
              <w:right w:val="nil"/>
            </w:tcBorders>
            <w:shd w:val="clear" w:color="auto" w:fill="C0C0C0"/>
          </w:tcPr>
          <w:p w14:paraId="6ACA44B8" w14:textId="77777777" w:rsidR="00000000" w:rsidRDefault="00000000">
            <w:pPr>
              <w:pStyle w:val="tabletext"/>
              <w:rPr>
                <w:b/>
                <w:bCs/>
              </w:rPr>
            </w:pPr>
            <w:r>
              <w:rPr>
                <w:b/>
                <w:bCs/>
              </w:rPr>
              <w:t>Occupancy</w:t>
            </w:r>
          </w:p>
        </w:tc>
        <w:tc>
          <w:tcPr>
            <w:tcW w:w="7920" w:type="dxa"/>
            <w:tcBorders>
              <w:top w:val="single" w:sz="4" w:space="0" w:color="auto"/>
              <w:left w:val="nil"/>
              <w:bottom w:val="nil"/>
              <w:right w:val="single" w:sz="4" w:space="0" w:color="auto"/>
            </w:tcBorders>
            <w:shd w:val="clear" w:color="auto" w:fill="C0C0C0"/>
          </w:tcPr>
          <w:p w14:paraId="6CBB2DF2" w14:textId="77777777" w:rsidR="00000000" w:rsidRDefault="00000000">
            <w:pPr>
              <w:pStyle w:val="tabletext"/>
            </w:pPr>
            <w:r>
              <w:t xml:space="preserve">Staff.  </w:t>
            </w:r>
          </w:p>
        </w:tc>
      </w:tr>
      <w:tr w:rsidR="00000000" w14:paraId="0403F800" w14:textId="77777777">
        <w:tblPrEx>
          <w:tblCellMar>
            <w:top w:w="0" w:type="dxa"/>
            <w:bottom w:w="0" w:type="dxa"/>
          </w:tblCellMar>
        </w:tblPrEx>
        <w:trPr>
          <w:cantSplit/>
        </w:trPr>
        <w:tc>
          <w:tcPr>
            <w:tcW w:w="1728" w:type="dxa"/>
            <w:tcBorders>
              <w:top w:val="nil"/>
              <w:left w:val="single" w:sz="4" w:space="0" w:color="auto"/>
              <w:bottom w:val="single" w:sz="4" w:space="0" w:color="auto"/>
              <w:right w:val="nil"/>
            </w:tcBorders>
            <w:shd w:val="clear" w:color="auto" w:fill="C0C0C0"/>
          </w:tcPr>
          <w:p w14:paraId="69DD4C14" w14:textId="77777777" w:rsidR="00000000" w:rsidRDefault="00000000">
            <w:pPr>
              <w:pStyle w:val="tabletext"/>
              <w:rPr>
                <w:bCs/>
              </w:rPr>
            </w:pPr>
          </w:p>
        </w:tc>
        <w:tc>
          <w:tcPr>
            <w:tcW w:w="7920" w:type="dxa"/>
            <w:tcBorders>
              <w:top w:val="nil"/>
              <w:left w:val="nil"/>
              <w:bottom w:val="single" w:sz="4" w:space="0" w:color="auto"/>
              <w:right w:val="single" w:sz="4" w:space="0" w:color="auto"/>
            </w:tcBorders>
            <w:shd w:val="clear" w:color="auto" w:fill="C0C0C0"/>
          </w:tcPr>
          <w:p w14:paraId="69BC9DF0" w14:textId="77777777" w:rsidR="00000000" w:rsidRDefault="00000000">
            <w:pPr>
              <w:pStyle w:val="tabletext"/>
            </w:pPr>
            <w:r>
              <w:t xml:space="preserve">Patrons/Youth.  </w:t>
            </w:r>
          </w:p>
        </w:tc>
      </w:tr>
      <w:tr w:rsidR="00000000" w14:paraId="1B9846D9" w14:textId="77777777">
        <w:tblPrEx>
          <w:tblCellMar>
            <w:top w:w="0" w:type="dxa"/>
            <w:bottom w:w="0" w:type="dxa"/>
          </w:tblCellMar>
        </w:tblPrEx>
        <w:trPr>
          <w:cantSplit/>
        </w:trPr>
        <w:tc>
          <w:tcPr>
            <w:tcW w:w="1728" w:type="dxa"/>
            <w:tcBorders>
              <w:top w:val="single" w:sz="4" w:space="0" w:color="auto"/>
              <w:left w:val="single" w:sz="4" w:space="0" w:color="auto"/>
              <w:bottom w:val="single" w:sz="4" w:space="0" w:color="auto"/>
              <w:right w:val="nil"/>
            </w:tcBorders>
            <w:shd w:val="clear" w:color="auto" w:fill="C0C0C0"/>
          </w:tcPr>
          <w:p w14:paraId="274DDC7C" w14:textId="77777777" w:rsidR="00000000" w:rsidRDefault="00000000">
            <w:pPr>
              <w:pStyle w:val="tabletext"/>
              <w:rPr>
                <w:b/>
                <w:bCs/>
              </w:rPr>
            </w:pPr>
            <w:r>
              <w:rPr>
                <w:b/>
                <w:bCs/>
              </w:rPr>
              <w:t>Min. net m</w:t>
            </w:r>
            <w:r>
              <w:rPr>
                <w:b/>
                <w:bCs/>
                <w:vertAlign w:val="superscript"/>
              </w:rPr>
              <w:t>2</w:t>
            </w:r>
            <w:r>
              <w:rPr>
                <w:b/>
                <w:bCs/>
              </w:rPr>
              <w:t xml:space="preserve"> (ft</w:t>
            </w:r>
            <w:r>
              <w:rPr>
                <w:b/>
                <w:bCs/>
                <w:vertAlign w:val="superscript"/>
              </w:rPr>
              <w:t>2</w:t>
            </w:r>
            <w:r>
              <w:rPr>
                <w:b/>
                <w:bCs/>
              </w:rPr>
              <w:t>)</w:t>
            </w:r>
          </w:p>
        </w:tc>
        <w:tc>
          <w:tcPr>
            <w:tcW w:w="7920" w:type="dxa"/>
            <w:tcBorders>
              <w:top w:val="single" w:sz="4" w:space="0" w:color="auto"/>
              <w:left w:val="nil"/>
              <w:bottom w:val="single" w:sz="4" w:space="0" w:color="auto"/>
              <w:right w:val="single" w:sz="4" w:space="0" w:color="auto"/>
            </w:tcBorders>
            <w:shd w:val="clear" w:color="auto" w:fill="C0C0C0"/>
          </w:tcPr>
          <w:p w14:paraId="71105BA2" w14:textId="77777777" w:rsidR="00000000" w:rsidRDefault="00000000">
            <w:pPr>
              <w:pStyle w:val="tabletext"/>
            </w:pPr>
          </w:p>
        </w:tc>
      </w:tr>
    </w:tbl>
    <w:p w14:paraId="3BE2A303" w14:textId="77777777" w:rsidR="00245061" w:rsidRDefault="00245061"/>
    <w:sectPr w:rsidR="0024506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485EC0"/>
    <w:multiLevelType w:val="hybridMultilevel"/>
    <w:tmpl w:val="5392842E"/>
    <w:lvl w:ilvl="0" w:tplc="3D6A992C">
      <w:start w:val="1"/>
      <w:numFmt w:val="lowerLetter"/>
      <w:pStyle w:val="UFCletterbullet"/>
      <w:lvlText w:val="%1."/>
      <w:lvlJc w:val="left"/>
      <w:pPr>
        <w:tabs>
          <w:tab w:val="num" w:pos="1080"/>
        </w:tabs>
        <w:ind w:left="1080" w:hanging="360"/>
      </w:pPr>
      <w:rPr>
        <w:rFonts w:hint="default"/>
      </w:rPr>
    </w:lvl>
    <w:lvl w:ilvl="1" w:tplc="ADECBB58">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101146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90C"/>
    <w:rsid w:val="00245061"/>
    <w:rsid w:val="00997EB0"/>
    <w:rsid w:val="00EF7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876A39"/>
  <w15:chartTrackingRefBased/>
  <w15:docId w15:val="{26B50E57-E4DE-47B2-8058-1DD2EA9A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Cletterbullet">
    <w:name w:val="UFC letter bullet"/>
    <w:basedOn w:val="Normal"/>
    <w:pPr>
      <w:numPr>
        <w:numId w:val="1"/>
      </w:numPr>
    </w:pPr>
    <w:rPr>
      <w:rFonts w:ascii="Arial" w:hAnsi="Arial" w:cs="Arial"/>
      <w:szCs w:val="18"/>
    </w:rPr>
  </w:style>
  <w:style w:type="paragraph" w:customStyle="1" w:styleId="UFCtable">
    <w:name w:val="UFCtable"/>
    <w:basedOn w:val="Normal"/>
    <w:pPr>
      <w:spacing w:after="240"/>
      <w:jc w:val="center"/>
    </w:pPr>
    <w:rPr>
      <w:rFonts w:ascii="Arial" w:hAnsi="Arial" w:cs="Arial"/>
      <w:b/>
      <w:snapToGrid w:val="0"/>
    </w:rPr>
  </w:style>
  <w:style w:type="paragraph" w:customStyle="1" w:styleId="tabletext">
    <w:name w:val="table text"/>
    <w:basedOn w:val="Normal"/>
    <w:pPr>
      <w:spacing w:before="20" w:after="20"/>
    </w:pPr>
    <w:rPr>
      <w:rFonts w:ascii="Arial" w:eastAsia="Arial Unicode MS" w:hAnsi="Arial" w:cs="Arial"/>
      <w:sz w:val="20"/>
    </w:rPr>
  </w:style>
  <w:style w:type="paragraph" w:customStyle="1" w:styleId="tablehead2">
    <w:name w:val="table head2"/>
    <w:basedOn w:val="Normal"/>
    <w:pPr>
      <w:spacing w:before="60" w:after="60"/>
      <w:jc w:val="center"/>
    </w:pPr>
    <w:rPr>
      <w:rFonts w:ascii="Arial" w:hAnsi="Arial" w:cs="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TABLE 4-3-1 Administrative Offices</vt:lpstr>
    </vt:vector>
  </TitlesOfParts>
  <Company>United States Department of Defense</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4-3-1 Administrative Offices</dc:title>
  <dc:subject/>
  <cp:keywords/>
  <dc:description/>
  <cp:revision>2</cp:revision>
  <dcterms:created xsi:type="dcterms:W3CDTF">2024-06-06T18:55:00Z</dcterms:created>
  <dcterms:modified xsi:type="dcterms:W3CDTF">2024-06-06T18:55:00Z</dcterms:modified>
  <cp:category>UFC</cp:category>
</cp:coreProperties>
</file>